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宋体" w:asciiTheme="majorEastAsia" w:hAnsiTheme="majorEastAsia" w:eastAsiaTheme="majorEastAsia"/>
          <w:color w:val="000000"/>
          <w:sz w:val="44"/>
          <w:szCs w:val="44"/>
        </w:rPr>
      </w:pPr>
      <w:r>
        <w:rPr>
          <w:rFonts w:hint="eastAsia" w:cs="宋体" w:asciiTheme="majorEastAsia" w:hAnsiTheme="majorEastAsia" w:eastAsiaTheme="majorEastAsia"/>
          <w:color w:val="000000"/>
          <w:sz w:val="44"/>
          <w:szCs w:val="44"/>
        </w:rPr>
        <w:t>文学院2021年硕士研究生招生考试</w:t>
      </w:r>
    </w:p>
    <w:p>
      <w:pPr>
        <w:spacing w:line="360" w:lineRule="auto"/>
        <w:jc w:val="center"/>
        <w:rPr>
          <w:rFonts w:cs="宋体" w:asciiTheme="majorEastAsia" w:hAnsiTheme="majorEastAsia" w:eastAsiaTheme="majorEastAsia"/>
          <w:color w:val="000000"/>
          <w:sz w:val="44"/>
          <w:szCs w:val="44"/>
        </w:rPr>
      </w:pPr>
      <w:r>
        <w:rPr>
          <w:rFonts w:hint="eastAsia" w:cs="宋体" w:asciiTheme="majorEastAsia" w:hAnsiTheme="majorEastAsia" w:eastAsiaTheme="majorEastAsia"/>
          <w:color w:val="000000"/>
          <w:sz w:val="44"/>
          <w:szCs w:val="44"/>
        </w:rPr>
        <w:t>复试录取工作细则</w:t>
      </w:r>
      <w:r>
        <w:rPr>
          <w:rFonts w:hint="eastAsia" w:cs="宋体" w:asciiTheme="majorEastAsia" w:hAnsiTheme="majorEastAsia" w:eastAsiaTheme="majorEastAsia"/>
          <w:sz w:val="44"/>
          <w:szCs w:val="44"/>
        </w:rPr>
        <w:t>（翻译—专硕）</w:t>
      </w:r>
    </w:p>
    <w:p>
      <w:pPr>
        <w:spacing w:line="360" w:lineRule="auto"/>
        <w:ind w:firstLine="480" w:firstLineChars="200"/>
        <w:rPr>
          <w:rFonts w:ascii="宋体" w:hAnsi="宋体" w:eastAsia="宋体" w:cs="宋体"/>
          <w:color w:val="000000"/>
          <w:kern w:val="2"/>
          <w:sz w:val="24"/>
          <w:szCs w:val="24"/>
        </w:rPr>
      </w:pPr>
      <w:r>
        <w:rPr>
          <w:rFonts w:hint="eastAsia" w:ascii="宋体" w:hAnsi="宋体" w:eastAsia="宋体" w:cs="宋体"/>
          <w:color w:val="000000"/>
          <w:kern w:val="2"/>
          <w:sz w:val="24"/>
          <w:szCs w:val="24"/>
        </w:rPr>
        <w:t>根据教育部关于研究生录取工作中要坚持“按需招生、德智体全面衡量、择优录取、宁缺毋滥”的原则及相关规定，为保证我院硕士研究生招生工作的顺利进行，提高招生工作效率和保证生源质量，既维护考生权益，又保证公平、公正、公开，根据南京信息工程大学2021年招收攻读硕士学位研究生复试录取工作相关文件，结合我院实际情况，经我院研究生招生工作领导小组讨论，特制定 “翻译(专硕)”专业硕士复试及录取工作细则。</w:t>
      </w:r>
    </w:p>
    <w:p>
      <w:pPr>
        <w:spacing w:line="360" w:lineRule="auto"/>
        <w:ind w:firstLine="480" w:firstLineChars="200"/>
        <w:rPr>
          <w:rFonts w:ascii="宋体" w:hAnsi="宋体" w:cs="宋体"/>
          <w:color w:val="000000"/>
          <w:sz w:val="24"/>
        </w:rPr>
      </w:pPr>
    </w:p>
    <w:p>
      <w:pPr>
        <w:widowControl w:val="0"/>
        <w:numPr>
          <w:ilvl w:val="0"/>
          <w:numId w:val="1"/>
        </w:numPr>
        <w:tabs>
          <w:tab w:val="left" w:pos="0"/>
          <w:tab w:val="clear" w:pos="1282"/>
        </w:tabs>
        <w:adjustRightInd/>
        <w:snapToGrid/>
        <w:spacing w:beforeLines="50" w:afterLines="50" w:line="360" w:lineRule="auto"/>
        <w:ind w:left="0" w:firstLine="0"/>
        <w:jc w:val="both"/>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招生指标及复试名单确定</w:t>
      </w:r>
    </w:p>
    <w:p>
      <w:pPr>
        <w:spacing w:line="360" w:lineRule="auto"/>
        <w:ind w:firstLine="480" w:firstLineChars="200"/>
        <w:rPr>
          <w:rFonts w:ascii="宋体" w:hAnsi="宋体" w:eastAsia="宋体" w:cs="宋体"/>
          <w:color w:val="000000"/>
          <w:kern w:val="2"/>
          <w:sz w:val="24"/>
          <w:szCs w:val="24"/>
        </w:rPr>
      </w:pPr>
      <w:r>
        <w:rPr>
          <w:rFonts w:ascii="宋体" w:hAnsi="宋体" w:eastAsia="宋体" w:cs="宋体"/>
          <w:color w:val="000000"/>
          <w:kern w:val="2"/>
          <w:sz w:val="24"/>
          <w:szCs w:val="24"/>
        </w:rPr>
        <w:t>研究生院相关文件规定实行差额复试，复试名单以研究生院公布的名单为准。</w:t>
      </w:r>
      <w:r>
        <w:rPr>
          <w:rFonts w:hint="eastAsia" w:ascii="宋体" w:hAnsi="宋体" w:eastAsia="宋体" w:cs="宋体"/>
          <w:color w:val="000000"/>
          <w:kern w:val="2"/>
          <w:sz w:val="24"/>
          <w:szCs w:val="24"/>
        </w:rPr>
        <w:t>本</w:t>
      </w:r>
      <w:r>
        <w:rPr>
          <w:rFonts w:ascii="宋体" w:hAnsi="宋体" w:eastAsia="宋体" w:cs="宋体"/>
          <w:color w:val="000000"/>
          <w:kern w:val="2"/>
          <w:sz w:val="24"/>
          <w:szCs w:val="24"/>
        </w:rPr>
        <w:t>专业招生计划及复试名额如下：</w:t>
      </w:r>
    </w:p>
    <w:tbl>
      <w:tblPr>
        <w:tblStyle w:val="5"/>
        <w:tblW w:w="103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452"/>
        <w:gridCol w:w="675"/>
        <w:gridCol w:w="675"/>
        <w:gridCol w:w="675"/>
        <w:gridCol w:w="675"/>
        <w:gridCol w:w="793"/>
        <w:gridCol w:w="640"/>
        <w:gridCol w:w="592"/>
        <w:gridCol w:w="675"/>
        <w:gridCol w:w="675"/>
        <w:gridCol w:w="8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3452" w:type="dxa"/>
            <w:vMerge w:val="restart"/>
            <w:tcBorders>
              <w:right w:val="single" w:color="auto" w:sz="4" w:space="0"/>
            </w:tcBorders>
            <w:vAlign w:val="center"/>
          </w:tcPr>
          <w:p>
            <w:pPr>
              <w:spacing w:line="360" w:lineRule="auto"/>
              <w:ind w:firstLine="424" w:firstLineChars="177"/>
              <w:jc w:val="center"/>
              <w:rPr>
                <w:rFonts w:ascii="宋体" w:hAnsi="宋体" w:eastAsia="宋体" w:cs="宋体"/>
                <w:color w:val="000000"/>
                <w:kern w:val="2"/>
                <w:sz w:val="24"/>
                <w:szCs w:val="24"/>
              </w:rPr>
            </w:pPr>
            <w:r>
              <w:rPr>
                <w:rFonts w:hint="eastAsia" w:ascii="宋体" w:hAnsi="宋体" w:eastAsia="宋体" w:cs="宋体"/>
                <w:color w:val="000000"/>
                <w:kern w:val="2"/>
                <w:sz w:val="24"/>
                <w:szCs w:val="24"/>
              </w:rPr>
              <w:t>专业</w:t>
            </w:r>
          </w:p>
        </w:tc>
        <w:tc>
          <w:tcPr>
            <w:tcW w:w="3493" w:type="dxa"/>
            <w:gridSpan w:val="5"/>
            <w:tcBorders>
              <w:left w:val="nil"/>
              <w:right w:val="single" w:color="auto" w:sz="4" w:space="0"/>
            </w:tcBorders>
            <w:vAlign w:val="center"/>
          </w:tcPr>
          <w:p>
            <w:pPr>
              <w:spacing w:line="360" w:lineRule="auto"/>
              <w:ind w:firstLine="424" w:firstLineChars="177"/>
              <w:jc w:val="center"/>
              <w:rPr>
                <w:rFonts w:ascii="宋体" w:hAnsi="宋体" w:eastAsia="宋体" w:cs="宋体"/>
                <w:color w:val="000000"/>
                <w:kern w:val="2"/>
                <w:sz w:val="24"/>
                <w:szCs w:val="24"/>
              </w:rPr>
            </w:pPr>
            <w:r>
              <w:rPr>
                <w:rFonts w:hint="eastAsia" w:ascii="宋体" w:hAnsi="宋体" w:eastAsia="宋体" w:cs="宋体"/>
                <w:color w:val="000000"/>
                <w:kern w:val="2"/>
                <w:sz w:val="24"/>
                <w:szCs w:val="24"/>
              </w:rPr>
              <w:t>招生计划</w:t>
            </w:r>
          </w:p>
        </w:tc>
        <w:tc>
          <w:tcPr>
            <w:tcW w:w="3402" w:type="dxa"/>
            <w:gridSpan w:val="5"/>
            <w:tcBorders>
              <w:left w:val="nil"/>
              <w:right w:val="single" w:color="auto" w:sz="4" w:space="0"/>
            </w:tcBorders>
            <w:vAlign w:val="center"/>
          </w:tcPr>
          <w:p>
            <w:pPr>
              <w:spacing w:line="360" w:lineRule="auto"/>
              <w:ind w:firstLine="424" w:firstLineChars="177"/>
              <w:jc w:val="center"/>
              <w:rPr>
                <w:rFonts w:ascii="宋体" w:hAnsi="宋体" w:eastAsia="宋体" w:cs="宋体"/>
                <w:color w:val="000000"/>
                <w:kern w:val="2"/>
                <w:sz w:val="24"/>
                <w:szCs w:val="24"/>
              </w:rPr>
            </w:pPr>
            <w:r>
              <w:rPr>
                <w:rFonts w:hint="eastAsia" w:ascii="宋体" w:hAnsi="宋体" w:eastAsia="宋体" w:cs="宋体"/>
                <w:color w:val="000000"/>
                <w:kern w:val="2"/>
                <w:sz w:val="24"/>
                <w:szCs w:val="24"/>
              </w:rPr>
              <w:t>复试名额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5" w:hRule="atLeast"/>
          <w:jc w:val="center"/>
        </w:trPr>
        <w:tc>
          <w:tcPr>
            <w:tcW w:w="3452" w:type="dxa"/>
            <w:vMerge w:val="continue"/>
            <w:tcBorders>
              <w:right w:val="single" w:color="auto" w:sz="4" w:space="0"/>
            </w:tcBorders>
            <w:vAlign w:val="center"/>
          </w:tcPr>
          <w:p>
            <w:pPr>
              <w:spacing w:line="360" w:lineRule="auto"/>
              <w:rPr>
                <w:rFonts w:ascii="宋体" w:hAnsi="宋体" w:eastAsia="宋体" w:cs="宋体"/>
                <w:color w:val="000000"/>
                <w:kern w:val="2"/>
                <w:sz w:val="24"/>
                <w:szCs w:val="24"/>
              </w:rPr>
            </w:pPr>
          </w:p>
        </w:tc>
        <w:tc>
          <w:tcPr>
            <w:tcW w:w="675" w:type="dxa"/>
            <w:tcBorders>
              <w:left w:val="nil"/>
            </w:tcBorders>
            <w:vAlign w:val="center"/>
          </w:tcPr>
          <w:p>
            <w:pPr>
              <w:spacing w:line="360" w:lineRule="auto"/>
              <w:jc w:val="center"/>
              <w:rPr>
                <w:rFonts w:ascii="宋体" w:hAnsi="宋体" w:eastAsia="宋体" w:cs="宋体"/>
                <w:color w:val="000000"/>
                <w:kern w:val="2"/>
                <w:sz w:val="24"/>
                <w:szCs w:val="24"/>
              </w:rPr>
            </w:pPr>
            <w:r>
              <w:rPr>
                <w:rFonts w:hint="eastAsia" w:ascii="宋体" w:hAnsi="宋体" w:eastAsia="宋体" w:cs="宋体"/>
                <w:color w:val="000000"/>
                <w:kern w:val="2"/>
                <w:sz w:val="24"/>
                <w:szCs w:val="24"/>
              </w:rPr>
              <w:t>合计</w:t>
            </w:r>
          </w:p>
        </w:tc>
        <w:tc>
          <w:tcPr>
            <w:tcW w:w="675" w:type="dxa"/>
            <w:tcBorders>
              <w:left w:val="nil"/>
              <w:right w:val="single" w:color="auto" w:sz="4" w:space="0"/>
            </w:tcBorders>
            <w:vAlign w:val="center"/>
          </w:tcPr>
          <w:p>
            <w:pPr>
              <w:spacing w:line="360" w:lineRule="auto"/>
              <w:jc w:val="center"/>
              <w:rPr>
                <w:rFonts w:ascii="宋体" w:hAnsi="宋体" w:eastAsia="宋体" w:cs="宋体"/>
                <w:color w:val="000000"/>
                <w:kern w:val="2"/>
                <w:sz w:val="24"/>
                <w:szCs w:val="24"/>
              </w:rPr>
            </w:pPr>
            <w:r>
              <w:rPr>
                <w:rFonts w:hint="eastAsia" w:ascii="宋体" w:hAnsi="宋体" w:eastAsia="宋体" w:cs="宋体"/>
                <w:color w:val="000000"/>
                <w:kern w:val="2"/>
                <w:sz w:val="24"/>
                <w:szCs w:val="24"/>
              </w:rPr>
              <w:t>推免</w:t>
            </w:r>
          </w:p>
        </w:tc>
        <w:tc>
          <w:tcPr>
            <w:tcW w:w="675" w:type="dxa"/>
            <w:tcBorders>
              <w:left w:val="nil"/>
              <w:right w:val="single" w:color="auto" w:sz="4" w:space="0"/>
            </w:tcBorders>
            <w:vAlign w:val="center"/>
          </w:tcPr>
          <w:p>
            <w:pPr>
              <w:spacing w:line="360" w:lineRule="auto"/>
              <w:jc w:val="center"/>
              <w:rPr>
                <w:rFonts w:ascii="宋体" w:hAnsi="宋体" w:eastAsia="宋体" w:cs="宋体"/>
                <w:color w:val="000000"/>
                <w:kern w:val="2"/>
                <w:sz w:val="24"/>
                <w:szCs w:val="24"/>
              </w:rPr>
            </w:pPr>
            <w:r>
              <w:rPr>
                <w:rFonts w:hint="eastAsia" w:ascii="宋体" w:hAnsi="宋体" w:eastAsia="宋体" w:cs="宋体"/>
                <w:color w:val="000000"/>
                <w:kern w:val="2"/>
                <w:sz w:val="24"/>
                <w:szCs w:val="24"/>
              </w:rPr>
              <w:t>统考</w:t>
            </w:r>
          </w:p>
        </w:tc>
        <w:tc>
          <w:tcPr>
            <w:tcW w:w="675" w:type="dxa"/>
            <w:tcBorders>
              <w:left w:val="nil"/>
              <w:right w:val="single" w:color="auto" w:sz="4" w:space="0"/>
            </w:tcBorders>
            <w:vAlign w:val="center"/>
          </w:tcPr>
          <w:p>
            <w:pPr>
              <w:spacing w:line="360" w:lineRule="auto"/>
              <w:jc w:val="center"/>
              <w:rPr>
                <w:rFonts w:ascii="宋体" w:hAnsi="宋体" w:eastAsia="宋体" w:cs="宋体"/>
                <w:color w:val="000000"/>
                <w:kern w:val="2"/>
                <w:sz w:val="24"/>
                <w:szCs w:val="24"/>
              </w:rPr>
            </w:pPr>
            <w:r>
              <w:rPr>
                <w:rFonts w:hint="eastAsia" w:ascii="宋体" w:hAnsi="宋体" w:eastAsia="宋体" w:cs="宋体"/>
                <w:color w:val="000000"/>
                <w:kern w:val="2"/>
                <w:sz w:val="24"/>
                <w:szCs w:val="24"/>
              </w:rPr>
              <w:t xml:space="preserve">调  </w:t>
            </w:r>
          </w:p>
          <w:p>
            <w:pPr>
              <w:spacing w:line="360" w:lineRule="auto"/>
              <w:jc w:val="center"/>
              <w:rPr>
                <w:rFonts w:ascii="宋体" w:hAnsi="宋体" w:eastAsia="宋体" w:cs="宋体"/>
                <w:color w:val="000000"/>
                <w:kern w:val="2"/>
                <w:sz w:val="24"/>
                <w:szCs w:val="24"/>
              </w:rPr>
            </w:pPr>
            <w:r>
              <w:rPr>
                <w:rFonts w:hint="eastAsia" w:ascii="宋体" w:hAnsi="宋体" w:eastAsia="宋体" w:cs="宋体"/>
                <w:color w:val="000000"/>
                <w:kern w:val="2"/>
                <w:sz w:val="24"/>
                <w:szCs w:val="24"/>
              </w:rPr>
              <w:t>剂</w:t>
            </w:r>
          </w:p>
        </w:tc>
        <w:tc>
          <w:tcPr>
            <w:tcW w:w="793" w:type="dxa"/>
            <w:tcBorders>
              <w:left w:val="nil"/>
              <w:right w:val="single" w:color="auto" w:sz="4" w:space="0"/>
            </w:tcBorders>
            <w:vAlign w:val="center"/>
          </w:tcPr>
          <w:p>
            <w:pPr>
              <w:spacing w:line="360" w:lineRule="auto"/>
              <w:jc w:val="center"/>
              <w:rPr>
                <w:rFonts w:ascii="宋体" w:hAnsi="宋体" w:eastAsia="宋体" w:cs="宋体"/>
                <w:color w:val="000000"/>
                <w:kern w:val="2"/>
                <w:sz w:val="24"/>
                <w:szCs w:val="24"/>
              </w:rPr>
            </w:pPr>
            <w:r>
              <w:rPr>
                <w:rFonts w:hint="eastAsia" w:ascii="宋体" w:hAnsi="宋体" w:eastAsia="宋体" w:cs="宋体"/>
                <w:color w:val="000000"/>
                <w:kern w:val="2"/>
                <w:sz w:val="24"/>
                <w:szCs w:val="24"/>
              </w:rPr>
              <w:t>专项计划</w:t>
            </w:r>
          </w:p>
        </w:tc>
        <w:tc>
          <w:tcPr>
            <w:tcW w:w="640" w:type="dxa"/>
            <w:tcBorders>
              <w:left w:val="nil"/>
            </w:tcBorders>
            <w:vAlign w:val="center"/>
          </w:tcPr>
          <w:p>
            <w:pPr>
              <w:spacing w:line="360" w:lineRule="auto"/>
              <w:jc w:val="center"/>
              <w:rPr>
                <w:rFonts w:ascii="宋体" w:hAnsi="宋体" w:eastAsia="宋体" w:cs="宋体"/>
                <w:color w:val="000000"/>
                <w:kern w:val="2"/>
                <w:sz w:val="24"/>
                <w:szCs w:val="24"/>
              </w:rPr>
            </w:pPr>
            <w:r>
              <w:rPr>
                <w:rFonts w:hint="eastAsia" w:ascii="宋体" w:hAnsi="宋体" w:eastAsia="宋体" w:cs="宋体"/>
                <w:color w:val="000000"/>
                <w:kern w:val="2"/>
                <w:sz w:val="24"/>
                <w:szCs w:val="24"/>
              </w:rPr>
              <w:t>合计</w:t>
            </w:r>
          </w:p>
        </w:tc>
        <w:tc>
          <w:tcPr>
            <w:tcW w:w="592" w:type="dxa"/>
            <w:tcBorders>
              <w:left w:val="nil"/>
            </w:tcBorders>
            <w:vAlign w:val="center"/>
          </w:tcPr>
          <w:p>
            <w:pPr>
              <w:spacing w:line="360" w:lineRule="auto"/>
              <w:jc w:val="center"/>
              <w:rPr>
                <w:rFonts w:ascii="宋体" w:hAnsi="宋体" w:eastAsia="宋体" w:cs="宋体"/>
                <w:color w:val="000000"/>
                <w:kern w:val="2"/>
                <w:sz w:val="24"/>
                <w:szCs w:val="24"/>
              </w:rPr>
            </w:pPr>
            <w:r>
              <w:rPr>
                <w:rFonts w:hint="eastAsia" w:ascii="宋体" w:hAnsi="宋体" w:eastAsia="宋体" w:cs="宋体"/>
                <w:color w:val="000000"/>
                <w:kern w:val="2"/>
                <w:sz w:val="24"/>
                <w:szCs w:val="24"/>
              </w:rPr>
              <w:t>推免</w:t>
            </w:r>
          </w:p>
        </w:tc>
        <w:tc>
          <w:tcPr>
            <w:tcW w:w="675" w:type="dxa"/>
            <w:tcBorders>
              <w:left w:val="nil"/>
            </w:tcBorders>
            <w:vAlign w:val="center"/>
          </w:tcPr>
          <w:p>
            <w:pPr>
              <w:spacing w:line="360" w:lineRule="auto"/>
              <w:jc w:val="center"/>
              <w:rPr>
                <w:rFonts w:ascii="宋体" w:hAnsi="宋体" w:eastAsia="宋体" w:cs="宋体"/>
                <w:color w:val="000000"/>
                <w:kern w:val="2"/>
                <w:sz w:val="24"/>
                <w:szCs w:val="24"/>
              </w:rPr>
            </w:pPr>
            <w:r>
              <w:rPr>
                <w:rFonts w:hint="eastAsia" w:ascii="宋体" w:hAnsi="宋体" w:eastAsia="宋体" w:cs="宋体"/>
                <w:color w:val="000000"/>
                <w:kern w:val="2"/>
                <w:sz w:val="24"/>
                <w:szCs w:val="24"/>
              </w:rPr>
              <w:t>统考</w:t>
            </w:r>
          </w:p>
        </w:tc>
        <w:tc>
          <w:tcPr>
            <w:tcW w:w="675" w:type="dxa"/>
            <w:tcBorders>
              <w:left w:val="nil"/>
            </w:tcBorders>
            <w:vAlign w:val="center"/>
          </w:tcPr>
          <w:p>
            <w:pPr>
              <w:spacing w:line="360" w:lineRule="auto"/>
              <w:jc w:val="center"/>
              <w:rPr>
                <w:rFonts w:ascii="宋体" w:hAnsi="宋体" w:eastAsia="宋体" w:cs="宋体"/>
                <w:color w:val="000000"/>
                <w:kern w:val="2"/>
                <w:sz w:val="24"/>
                <w:szCs w:val="24"/>
              </w:rPr>
            </w:pPr>
            <w:r>
              <w:rPr>
                <w:rFonts w:hint="eastAsia" w:ascii="宋体" w:hAnsi="宋体" w:eastAsia="宋体" w:cs="宋体"/>
                <w:color w:val="000000"/>
                <w:kern w:val="2"/>
                <w:sz w:val="24"/>
                <w:szCs w:val="24"/>
              </w:rPr>
              <w:t>调剂</w:t>
            </w:r>
          </w:p>
        </w:tc>
        <w:tc>
          <w:tcPr>
            <w:tcW w:w="820" w:type="dxa"/>
            <w:tcBorders>
              <w:left w:val="nil"/>
              <w:right w:val="single" w:color="auto" w:sz="4" w:space="0"/>
            </w:tcBorders>
            <w:vAlign w:val="center"/>
          </w:tcPr>
          <w:p>
            <w:pPr>
              <w:spacing w:line="360" w:lineRule="auto"/>
              <w:jc w:val="center"/>
              <w:rPr>
                <w:rFonts w:ascii="宋体" w:hAnsi="宋体" w:eastAsia="宋体" w:cs="宋体"/>
                <w:color w:val="000000"/>
                <w:kern w:val="2"/>
                <w:sz w:val="24"/>
                <w:szCs w:val="24"/>
              </w:rPr>
            </w:pPr>
            <w:r>
              <w:rPr>
                <w:rFonts w:hint="eastAsia" w:ascii="宋体" w:hAnsi="宋体" w:eastAsia="宋体" w:cs="宋体"/>
                <w:color w:val="000000"/>
                <w:kern w:val="2"/>
                <w:sz w:val="24"/>
                <w:szCs w:val="24"/>
              </w:rPr>
              <w:t>专项计划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452" w:type="dxa"/>
            <w:tcBorders>
              <w:right w:val="single" w:color="auto" w:sz="4" w:space="0"/>
            </w:tcBorders>
            <w:vAlign w:val="center"/>
          </w:tcPr>
          <w:p>
            <w:pPr>
              <w:spacing w:line="360" w:lineRule="auto"/>
              <w:ind w:firstLine="424" w:firstLineChars="177"/>
              <w:jc w:val="center"/>
              <w:rPr>
                <w:rFonts w:ascii="宋体" w:hAnsi="宋体" w:eastAsia="宋体" w:cs="宋体"/>
                <w:color w:val="000000"/>
                <w:kern w:val="2"/>
                <w:sz w:val="24"/>
                <w:szCs w:val="24"/>
              </w:rPr>
            </w:pPr>
            <w:r>
              <w:rPr>
                <w:rFonts w:hint="eastAsia" w:ascii="宋体" w:hAnsi="宋体" w:eastAsia="宋体" w:cs="宋体"/>
                <w:color w:val="000000"/>
                <w:kern w:val="2"/>
                <w:sz w:val="24"/>
                <w:szCs w:val="24"/>
              </w:rPr>
              <w:t>翻译(专硕)-英语笔译</w:t>
            </w:r>
          </w:p>
        </w:tc>
        <w:tc>
          <w:tcPr>
            <w:tcW w:w="675" w:type="dxa"/>
            <w:tcBorders>
              <w:left w:val="nil"/>
              <w:right w:val="single" w:color="auto" w:sz="4" w:space="0"/>
            </w:tcBorders>
          </w:tcPr>
          <w:p>
            <w:pPr>
              <w:spacing w:beforeAutospacing="1" w:afterAutospacing="1" w:line="360" w:lineRule="auto"/>
              <w:jc w:val="center"/>
              <w:rPr>
                <w:rFonts w:ascii="宋体" w:hAnsi="宋体" w:eastAsia="宋体" w:cs="宋体"/>
                <w:color w:val="000000"/>
                <w:kern w:val="2"/>
                <w:sz w:val="24"/>
                <w:szCs w:val="24"/>
              </w:rPr>
            </w:pPr>
            <w:r>
              <w:rPr>
                <w:rFonts w:hint="eastAsia" w:ascii="宋体" w:hAnsi="宋体" w:eastAsia="宋体" w:cs="宋体"/>
                <w:color w:val="000000"/>
                <w:kern w:val="2"/>
                <w:sz w:val="24"/>
                <w:szCs w:val="24"/>
              </w:rPr>
              <w:t>29</w:t>
            </w:r>
          </w:p>
        </w:tc>
        <w:tc>
          <w:tcPr>
            <w:tcW w:w="675" w:type="dxa"/>
            <w:tcBorders>
              <w:left w:val="nil"/>
              <w:right w:val="single" w:color="auto" w:sz="4" w:space="0"/>
            </w:tcBorders>
          </w:tcPr>
          <w:p>
            <w:pPr>
              <w:spacing w:line="360" w:lineRule="auto"/>
              <w:jc w:val="center"/>
              <w:rPr>
                <w:rFonts w:ascii="宋体" w:hAnsi="宋体" w:eastAsia="宋体" w:cs="宋体"/>
                <w:color w:val="000000"/>
                <w:kern w:val="2"/>
                <w:sz w:val="24"/>
                <w:szCs w:val="24"/>
              </w:rPr>
            </w:pPr>
            <w:r>
              <w:rPr>
                <w:rFonts w:hint="eastAsia" w:ascii="宋体" w:hAnsi="宋体" w:eastAsia="宋体" w:cs="宋体"/>
                <w:color w:val="000000"/>
                <w:kern w:val="2"/>
                <w:sz w:val="24"/>
                <w:szCs w:val="24"/>
              </w:rPr>
              <w:t>1</w:t>
            </w:r>
          </w:p>
        </w:tc>
        <w:tc>
          <w:tcPr>
            <w:tcW w:w="675" w:type="dxa"/>
            <w:tcBorders>
              <w:left w:val="nil"/>
              <w:right w:val="single" w:color="auto" w:sz="4" w:space="0"/>
            </w:tcBorders>
          </w:tcPr>
          <w:p>
            <w:pPr>
              <w:spacing w:line="360" w:lineRule="auto"/>
              <w:jc w:val="center"/>
              <w:rPr>
                <w:rFonts w:ascii="宋体" w:hAnsi="宋体" w:eastAsia="宋体" w:cs="宋体"/>
                <w:color w:val="000000"/>
                <w:kern w:val="2"/>
                <w:sz w:val="24"/>
                <w:szCs w:val="24"/>
              </w:rPr>
            </w:pPr>
            <w:r>
              <w:rPr>
                <w:rFonts w:hint="eastAsia" w:ascii="宋体" w:hAnsi="宋体" w:eastAsia="宋体" w:cs="宋体"/>
                <w:color w:val="000000"/>
                <w:kern w:val="2"/>
                <w:sz w:val="24"/>
                <w:szCs w:val="24"/>
              </w:rPr>
              <w:t>28</w:t>
            </w:r>
          </w:p>
        </w:tc>
        <w:tc>
          <w:tcPr>
            <w:tcW w:w="675" w:type="dxa"/>
            <w:tcBorders>
              <w:left w:val="nil"/>
              <w:right w:val="single" w:color="auto" w:sz="4" w:space="0"/>
            </w:tcBorders>
          </w:tcPr>
          <w:p>
            <w:pPr>
              <w:spacing w:line="360" w:lineRule="auto"/>
              <w:jc w:val="center"/>
              <w:rPr>
                <w:rFonts w:ascii="宋体" w:hAnsi="宋体" w:eastAsia="宋体" w:cs="宋体"/>
                <w:color w:val="000000"/>
                <w:kern w:val="2"/>
                <w:sz w:val="24"/>
                <w:szCs w:val="24"/>
              </w:rPr>
            </w:pPr>
            <w:r>
              <w:rPr>
                <w:rFonts w:hint="eastAsia" w:ascii="宋体" w:hAnsi="宋体" w:eastAsia="宋体" w:cs="宋体"/>
                <w:color w:val="000000"/>
                <w:kern w:val="2"/>
                <w:sz w:val="24"/>
                <w:szCs w:val="24"/>
              </w:rPr>
              <w:t>0</w:t>
            </w:r>
          </w:p>
        </w:tc>
        <w:tc>
          <w:tcPr>
            <w:tcW w:w="793" w:type="dxa"/>
            <w:tcBorders>
              <w:left w:val="nil"/>
              <w:right w:val="single" w:color="auto" w:sz="4" w:space="0"/>
            </w:tcBorders>
          </w:tcPr>
          <w:p>
            <w:pPr>
              <w:spacing w:line="360" w:lineRule="auto"/>
              <w:jc w:val="center"/>
              <w:rPr>
                <w:rFonts w:ascii="宋体" w:hAnsi="宋体" w:eastAsia="宋体" w:cs="宋体"/>
                <w:color w:val="000000"/>
                <w:kern w:val="2"/>
                <w:sz w:val="24"/>
                <w:szCs w:val="24"/>
              </w:rPr>
            </w:pPr>
            <w:r>
              <w:rPr>
                <w:rFonts w:hint="eastAsia" w:ascii="宋体" w:hAnsi="宋体" w:eastAsia="宋体" w:cs="宋体"/>
                <w:color w:val="000000"/>
                <w:kern w:val="2"/>
                <w:sz w:val="24"/>
                <w:szCs w:val="24"/>
              </w:rPr>
              <w:t>0</w:t>
            </w:r>
          </w:p>
        </w:tc>
        <w:tc>
          <w:tcPr>
            <w:tcW w:w="640" w:type="dxa"/>
            <w:tcBorders>
              <w:left w:val="nil"/>
              <w:right w:val="single" w:color="auto" w:sz="4" w:space="0"/>
            </w:tcBorders>
          </w:tcPr>
          <w:p>
            <w:pPr>
              <w:spacing w:line="360" w:lineRule="auto"/>
              <w:jc w:val="center"/>
              <w:rPr>
                <w:rFonts w:ascii="宋体" w:hAnsi="宋体" w:eastAsia="宋体" w:cs="宋体"/>
                <w:color w:val="000000"/>
                <w:kern w:val="2"/>
                <w:sz w:val="24"/>
                <w:szCs w:val="24"/>
              </w:rPr>
            </w:pPr>
            <w:r>
              <w:rPr>
                <w:rFonts w:hint="eastAsia" w:ascii="宋体" w:hAnsi="宋体" w:eastAsia="宋体" w:cs="宋体"/>
                <w:color w:val="000000"/>
                <w:kern w:val="2"/>
                <w:sz w:val="24"/>
                <w:szCs w:val="24"/>
              </w:rPr>
              <w:t>35</w:t>
            </w:r>
          </w:p>
        </w:tc>
        <w:tc>
          <w:tcPr>
            <w:tcW w:w="592" w:type="dxa"/>
            <w:tcBorders>
              <w:left w:val="nil"/>
              <w:right w:val="single" w:color="auto" w:sz="4" w:space="0"/>
            </w:tcBorders>
          </w:tcPr>
          <w:p>
            <w:pPr>
              <w:spacing w:line="360" w:lineRule="auto"/>
              <w:jc w:val="center"/>
              <w:rPr>
                <w:rFonts w:ascii="宋体" w:hAnsi="宋体" w:eastAsia="宋体" w:cs="宋体"/>
                <w:color w:val="000000"/>
                <w:kern w:val="2"/>
                <w:sz w:val="24"/>
                <w:szCs w:val="24"/>
              </w:rPr>
            </w:pPr>
            <w:r>
              <w:rPr>
                <w:rFonts w:hint="eastAsia" w:ascii="宋体" w:hAnsi="宋体" w:eastAsia="宋体" w:cs="宋体"/>
                <w:color w:val="000000"/>
                <w:kern w:val="2"/>
                <w:sz w:val="24"/>
                <w:szCs w:val="24"/>
              </w:rPr>
              <w:t>0</w:t>
            </w:r>
          </w:p>
        </w:tc>
        <w:tc>
          <w:tcPr>
            <w:tcW w:w="675" w:type="dxa"/>
            <w:tcBorders>
              <w:left w:val="nil"/>
              <w:right w:val="single" w:color="auto" w:sz="4" w:space="0"/>
            </w:tcBorders>
          </w:tcPr>
          <w:p>
            <w:pPr>
              <w:spacing w:line="360" w:lineRule="auto"/>
              <w:jc w:val="center"/>
              <w:rPr>
                <w:rFonts w:ascii="宋体" w:hAnsi="宋体" w:eastAsia="宋体" w:cs="宋体"/>
                <w:color w:val="000000"/>
                <w:kern w:val="2"/>
                <w:sz w:val="24"/>
                <w:szCs w:val="24"/>
              </w:rPr>
            </w:pPr>
            <w:r>
              <w:rPr>
                <w:rFonts w:hint="eastAsia" w:ascii="宋体" w:hAnsi="宋体" w:eastAsia="宋体" w:cs="宋体"/>
                <w:color w:val="000000"/>
                <w:kern w:val="2"/>
                <w:sz w:val="24"/>
                <w:szCs w:val="24"/>
              </w:rPr>
              <w:t>35</w:t>
            </w:r>
          </w:p>
        </w:tc>
        <w:tc>
          <w:tcPr>
            <w:tcW w:w="675" w:type="dxa"/>
            <w:tcBorders>
              <w:left w:val="nil"/>
              <w:right w:val="single" w:color="auto" w:sz="4" w:space="0"/>
            </w:tcBorders>
          </w:tcPr>
          <w:p>
            <w:pPr>
              <w:spacing w:line="360" w:lineRule="auto"/>
              <w:jc w:val="center"/>
              <w:rPr>
                <w:rFonts w:ascii="宋体" w:hAnsi="宋体" w:eastAsia="宋体" w:cs="宋体"/>
                <w:color w:val="000000"/>
                <w:kern w:val="2"/>
                <w:sz w:val="24"/>
                <w:szCs w:val="24"/>
              </w:rPr>
            </w:pPr>
            <w:r>
              <w:rPr>
                <w:rFonts w:hint="eastAsia" w:ascii="宋体" w:hAnsi="宋体" w:eastAsia="宋体" w:cs="宋体"/>
                <w:color w:val="000000"/>
                <w:kern w:val="2"/>
                <w:sz w:val="24"/>
                <w:szCs w:val="24"/>
              </w:rPr>
              <w:t>0</w:t>
            </w:r>
          </w:p>
        </w:tc>
        <w:tc>
          <w:tcPr>
            <w:tcW w:w="820" w:type="dxa"/>
            <w:tcBorders>
              <w:left w:val="nil"/>
              <w:right w:val="single" w:color="auto" w:sz="4" w:space="0"/>
            </w:tcBorders>
          </w:tcPr>
          <w:p>
            <w:pPr>
              <w:spacing w:line="360" w:lineRule="auto"/>
              <w:jc w:val="center"/>
              <w:rPr>
                <w:rFonts w:ascii="宋体" w:hAnsi="宋体" w:eastAsia="宋体" w:cs="宋体"/>
                <w:color w:val="000000"/>
                <w:kern w:val="2"/>
                <w:sz w:val="24"/>
                <w:szCs w:val="24"/>
              </w:rPr>
            </w:pPr>
            <w:r>
              <w:rPr>
                <w:rFonts w:hint="eastAsia" w:ascii="宋体" w:hAnsi="宋体" w:eastAsia="宋体" w:cs="宋体"/>
                <w:color w:val="000000"/>
                <w:kern w:val="2"/>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452" w:type="dxa"/>
            <w:tcBorders>
              <w:right w:val="single" w:color="auto" w:sz="4" w:space="0"/>
            </w:tcBorders>
            <w:vAlign w:val="center"/>
          </w:tcPr>
          <w:p>
            <w:pPr>
              <w:spacing w:line="360" w:lineRule="auto"/>
              <w:ind w:firstLine="424" w:firstLineChars="177"/>
              <w:jc w:val="center"/>
              <w:rPr>
                <w:rFonts w:ascii="宋体" w:hAnsi="宋体" w:eastAsia="宋体" w:cs="宋体"/>
                <w:color w:val="000000"/>
                <w:kern w:val="2"/>
                <w:sz w:val="24"/>
                <w:szCs w:val="24"/>
              </w:rPr>
            </w:pPr>
            <w:r>
              <w:rPr>
                <w:rFonts w:hint="eastAsia" w:ascii="宋体" w:hAnsi="宋体" w:eastAsia="宋体" w:cs="宋体"/>
                <w:color w:val="000000"/>
                <w:kern w:val="2"/>
                <w:sz w:val="24"/>
                <w:szCs w:val="24"/>
              </w:rPr>
              <w:t>翻译(专硕)-日语笔译</w:t>
            </w:r>
          </w:p>
        </w:tc>
        <w:tc>
          <w:tcPr>
            <w:tcW w:w="675" w:type="dxa"/>
            <w:tcBorders>
              <w:left w:val="nil"/>
              <w:right w:val="single" w:color="auto" w:sz="4" w:space="0"/>
            </w:tcBorders>
            <w:vAlign w:val="center"/>
          </w:tcPr>
          <w:p>
            <w:pPr>
              <w:spacing w:beforeAutospacing="1" w:afterAutospacing="1" w:line="360" w:lineRule="auto"/>
              <w:jc w:val="center"/>
              <w:rPr>
                <w:rFonts w:ascii="宋体" w:hAnsi="宋体" w:eastAsia="宋体" w:cs="宋体"/>
                <w:color w:val="000000"/>
                <w:kern w:val="2"/>
                <w:sz w:val="24"/>
                <w:szCs w:val="24"/>
              </w:rPr>
            </w:pPr>
            <w:r>
              <w:rPr>
                <w:rFonts w:hint="eastAsia" w:ascii="宋体" w:hAnsi="宋体" w:eastAsia="宋体" w:cs="宋体"/>
                <w:color w:val="000000"/>
                <w:kern w:val="2"/>
                <w:sz w:val="24"/>
                <w:szCs w:val="24"/>
              </w:rPr>
              <w:t>16</w:t>
            </w:r>
          </w:p>
        </w:tc>
        <w:tc>
          <w:tcPr>
            <w:tcW w:w="675" w:type="dxa"/>
            <w:tcBorders>
              <w:left w:val="nil"/>
              <w:right w:val="single" w:color="auto" w:sz="4" w:space="0"/>
            </w:tcBorders>
            <w:vAlign w:val="center"/>
          </w:tcPr>
          <w:p>
            <w:pPr>
              <w:spacing w:line="360" w:lineRule="auto"/>
              <w:jc w:val="center"/>
              <w:rPr>
                <w:rFonts w:ascii="宋体" w:hAnsi="宋体" w:eastAsia="宋体" w:cs="宋体"/>
                <w:color w:val="000000"/>
                <w:kern w:val="2"/>
                <w:sz w:val="24"/>
                <w:szCs w:val="24"/>
              </w:rPr>
            </w:pPr>
            <w:r>
              <w:rPr>
                <w:rFonts w:hint="eastAsia" w:ascii="宋体" w:hAnsi="宋体" w:eastAsia="宋体" w:cs="宋体"/>
                <w:color w:val="000000"/>
                <w:kern w:val="2"/>
                <w:sz w:val="24"/>
                <w:szCs w:val="24"/>
              </w:rPr>
              <w:t>0</w:t>
            </w:r>
          </w:p>
        </w:tc>
        <w:tc>
          <w:tcPr>
            <w:tcW w:w="675" w:type="dxa"/>
            <w:tcBorders>
              <w:left w:val="nil"/>
              <w:right w:val="single" w:color="auto" w:sz="4" w:space="0"/>
            </w:tcBorders>
            <w:vAlign w:val="center"/>
          </w:tcPr>
          <w:p>
            <w:pPr>
              <w:spacing w:line="360" w:lineRule="auto"/>
              <w:jc w:val="center"/>
              <w:rPr>
                <w:rFonts w:ascii="宋体" w:hAnsi="宋体" w:eastAsia="宋体" w:cs="宋体"/>
                <w:color w:val="000000"/>
                <w:kern w:val="2"/>
                <w:sz w:val="24"/>
                <w:szCs w:val="24"/>
              </w:rPr>
            </w:pPr>
            <w:r>
              <w:rPr>
                <w:rFonts w:hint="eastAsia" w:ascii="宋体" w:hAnsi="宋体" w:eastAsia="宋体" w:cs="宋体"/>
                <w:color w:val="000000"/>
                <w:kern w:val="2"/>
                <w:sz w:val="24"/>
                <w:szCs w:val="24"/>
              </w:rPr>
              <w:t>16</w:t>
            </w:r>
          </w:p>
        </w:tc>
        <w:tc>
          <w:tcPr>
            <w:tcW w:w="675" w:type="dxa"/>
            <w:tcBorders>
              <w:left w:val="nil"/>
              <w:right w:val="single" w:color="auto" w:sz="4" w:space="0"/>
            </w:tcBorders>
            <w:vAlign w:val="center"/>
          </w:tcPr>
          <w:p>
            <w:pPr>
              <w:spacing w:line="360" w:lineRule="auto"/>
              <w:jc w:val="center"/>
              <w:rPr>
                <w:rFonts w:ascii="宋体" w:hAnsi="宋体" w:eastAsia="宋体" w:cs="宋体"/>
                <w:color w:val="000000"/>
                <w:kern w:val="2"/>
                <w:sz w:val="24"/>
                <w:szCs w:val="24"/>
              </w:rPr>
            </w:pPr>
            <w:r>
              <w:rPr>
                <w:rFonts w:hint="eastAsia" w:ascii="宋体" w:hAnsi="宋体" w:eastAsia="宋体" w:cs="宋体"/>
                <w:color w:val="000000"/>
                <w:kern w:val="2"/>
                <w:sz w:val="24"/>
                <w:szCs w:val="24"/>
              </w:rPr>
              <w:t>0</w:t>
            </w:r>
          </w:p>
        </w:tc>
        <w:tc>
          <w:tcPr>
            <w:tcW w:w="793" w:type="dxa"/>
            <w:tcBorders>
              <w:left w:val="nil"/>
              <w:right w:val="single" w:color="auto" w:sz="4" w:space="0"/>
            </w:tcBorders>
            <w:vAlign w:val="center"/>
          </w:tcPr>
          <w:p>
            <w:pPr>
              <w:spacing w:line="360" w:lineRule="auto"/>
              <w:jc w:val="center"/>
              <w:rPr>
                <w:rFonts w:ascii="宋体" w:hAnsi="宋体" w:eastAsia="宋体" w:cs="宋体"/>
                <w:color w:val="000000"/>
                <w:kern w:val="2"/>
                <w:sz w:val="24"/>
                <w:szCs w:val="24"/>
              </w:rPr>
            </w:pPr>
            <w:r>
              <w:rPr>
                <w:rFonts w:hint="eastAsia" w:ascii="宋体" w:hAnsi="宋体" w:eastAsia="宋体" w:cs="宋体"/>
                <w:color w:val="000000"/>
                <w:kern w:val="2"/>
                <w:sz w:val="24"/>
                <w:szCs w:val="24"/>
              </w:rPr>
              <w:t>0</w:t>
            </w:r>
          </w:p>
        </w:tc>
        <w:tc>
          <w:tcPr>
            <w:tcW w:w="640" w:type="dxa"/>
            <w:tcBorders>
              <w:left w:val="nil"/>
              <w:right w:val="single" w:color="auto" w:sz="4" w:space="0"/>
            </w:tcBorders>
            <w:vAlign w:val="center"/>
          </w:tcPr>
          <w:p>
            <w:pPr>
              <w:spacing w:line="360" w:lineRule="auto"/>
              <w:jc w:val="center"/>
              <w:rPr>
                <w:rFonts w:ascii="宋体" w:hAnsi="宋体" w:eastAsia="宋体" w:cs="宋体"/>
                <w:color w:val="000000"/>
                <w:kern w:val="2"/>
                <w:sz w:val="24"/>
                <w:szCs w:val="24"/>
              </w:rPr>
            </w:pPr>
            <w:r>
              <w:rPr>
                <w:rFonts w:hint="eastAsia" w:ascii="宋体" w:hAnsi="宋体" w:eastAsia="宋体" w:cs="宋体"/>
                <w:color w:val="000000"/>
                <w:kern w:val="2"/>
                <w:sz w:val="24"/>
                <w:szCs w:val="24"/>
              </w:rPr>
              <w:t>19</w:t>
            </w:r>
          </w:p>
        </w:tc>
        <w:tc>
          <w:tcPr>
            <w:tcW w:w="592" w:type="dxa"/>
            <w:tcBorders>
              <w:left w:val="nil"/>
              <w:right w:val="single" w:color="auto" w:sz="4" w:space="0"/>
            </w:tcBorders>
            <w:vAlign w:val="center"/>
          </w:tcPr>
          <w:p>
            <w:pPr>
              <w:spacing w:line="360" w:lineRule="auto"/>
              <w:jc w:val="center"/>
              <w:rPr>
                <w:rFonts w:ascii="宋体" w:hAnsi="宋体" w:eastAsia="宋体" w:cs="宋体"/>
                <w:color w:val="000000"/>
                <w:kern w:val="2"/>
                <w:sz w:val="24"/>
                <w:szCs w:val="24"/>
              </w:rPr>
            </w:pPr>
            <w:r>
              <w:rPr>
                <w:rFonts w:hint="eastAsia" w:ascii="宋体" w:hAnsi="宋体" w:eastAsia="宋体" w:cs="宋体"/>
                <w:color w:val="000000"/>
                <w:kern w:val="2"/>
                <w:sz w:val="24"/>
                <w:szCs w:val="24"/>
              </w:rPr>
              <w:t>0</w:t>
            </w:r>
          </w:p>
        </w:tc>
        <w:tc>
          <w:tcPr>
            <w:tcW w:w="675" w:type="dxa"/>
            <w:tcBorders>
              <w:left w:val="nil"/>
              <w:right w:val="single" w:color="auto" w:sz="4" w:space="0"/>
            </w:tcBorders>
            <w:vAlign w:val="center"/>
          </w:tcPr>
          <w:p>
            <w:pPr>
              <w:spacing w:line="360" w:lineRule="auto"/>
              <w:jc w:val="center"/>
              <w:rPr>
                <w:rFonts w:ascii="宋体" w:hAnsi="宋体" w:eastAsia="宋体" w:cs="宋体"/>
                <w:color w:val="000000"/>
                <w:kern w:val="2"/>
                <w:sz w:val="24"/>
                <w:szCs w:val="24"/>
              </w:rPr>
            </w:pPr>
            <w:r>
              <w:rPr>
                <w:rFonts w:hint="eastAsia" w:ascii="宋体" w:hAnsi="宋体" w:eastAsia="宋体" w:cs="宋体"/>
                <w:color w:val="000000"/>
                <w:kern w:val="2"/>
                <w:sz w:val="24"/>
                <w:szCs w:val="24"/>
              </w:rPr>
              <w:t>19</w:t>
            </w:r>
          </w:p>
        </w:tc>
        <w:tc>
          <w:tcPr>
            <w:tcW w:w="675" w:type="dxa"/>
            <w:tcBorders>
              <w:left w:val="nil"/>
              <w:right w:val="single" w:color="auto" w:sz="4" w:space="0"/>
            </w:tcBorders>
            <w:vAlign w:val="center"/>
          </w:tcPr>
          <w:p>
            <w:pPr>
              <w:spacing w:line="360" w:lineRule="auto"/>
              <w:jc w:val="center"/>
              <w:rPr>
                <w:rFonts w:ascii="宋体" w:hAnsi="宋体" w:eastAsia="宋体" w:cs="宋体"/>
                <w:color w:val="000000"/>
                <w:kern w:val="2"/>
                <w:sz w:val="24"/>
                <w:szCs w:val="24"/>
              </w:rPr>
            </w:pPr>
            <w:r>
              <w:rPr>
                <w:rFonts w:hint="eastAsia" w:ascii="宋体" w:hAnsi="宋体" w:eastAsia="宋体" w:cs="宋体"/>
                <w:color w:val="000000"/>
                <w:kern w:val="2"/>
                <w:sz w:val="24"/>
                <w:szCs w:val="24"/>
              </w:rPr>
              <w:t>0</w:t>
            </w:r>
          </w:p>
        </w:tc>
        <w:tc>
          <w:tcPr>
            <w:tcW w:w="820" w:type="dxa"/>
            <w:tcBorders>
              <w:left w:val="nil"/>
              <w:right w:val="single" w:color="auto" w:sz="4" w:space="0"/>
            </w:tcBorders>
            <w:vAlign w:val="center"/>
          </w:tcPr>
          <w:p>
            <w:pPr>
              <w:spacing w:line="360" w:lineRule="auto"/>
              <w:jc w:val="center"/>
              <w:rPr>
                <w:rFonts w:ascii="宋体" w:hAnsi="宋体" w:eastAsia="宋体" w:cs="宋体"/>
                <w:color w:val="000000"/>
                <w:kern w:val="2"/>
                <w:sz w:val="24"/>
                <w:szCs w:val="24"/>
              </w:rPr>
            </w:pPr>
            <w:r>
              <w:rPr>
                <w:rFonts w:hint="eastAsia" w:ascii="宋体" w:hAnsi="宋体" w:eastAsia="宋体" w:cs="宋体"/>
                <w:color w:val="000000"/>
                <w:kern w:val="2"/>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452" w:type="dxa"/>
            <w:tcBorders>
              <w:right w:val="single" w:color="auto" w:sz="4" w:space="0"/>
            </w:tcBorders>
            <w:vAlign w:val="center"/>
          </w:tcPr>
          <w:p>
            <w:pPr>
              <w:spacing w:line="360" w:lineRule="auto"/>
              <w:ind w:firstLine="424" w:firstLineChars="177"/>
              <w:jc w:val="center"/>
              <w:rPr>
                <w:rFonts w:ascii="宋体" w:hAnsi="宋体" w:eastAsia="宋体" w:cs="宋体"/>
                <w:color w:val="000000"/>
                <w:kern w:val="2"/>
                <w:sz w:val="24"/>
                <w:szCs w:val="24"/>
              </w:rPr>
            </w:pPr>
            <w:r>
              <w:rPr>
                <w:rFonts w:hint="eastAsia" w:ascii="宋体" w:hAnsi="宋体" w:eastAsia="宋体" w:cs="宋体"/>
                <w:color w:val="000000"/>
                <w:kern w:val="2"/>
                <w:sz w:val="24"/>
                <w:szCs w:val="24"/>
              </w:rPr>
              <w:t>无锡研究生院（MTI）</w:t>
            </w:r>
          </w:p>
        </w:tc>
        <w:tc>
          <w:tcPr>
            <w:tcW w:w="675" w:type="dxa"/>
            <w:tcBorders>
              <w:left w:val="nil"/>
              <w:right w:val="single" w:color="auto" w:sz="4" w:space="0"/>
            </w:tcBorders>
            <w:vAlign w:val="center"/>
          </w:tcPr>
          <w:p>
            <w:pPr>
              <w:spacing w:line="360" w:lineRule="auto"/>
              <w:jc w:val="center"/>
              <w:rPr>
                <w:rFonts w:ascii="宋体" w:hAnsi="宋体" w:eastAsia="宋体" w:cs="宋体"/>
                <w:color w:val="000000"/>
                <w:kern w:val="2"/>
                <w:sz w:val="24"/>
                <w:szCs w:val="24"/>
              </w:rPr>
            </w:pPr>
            <w:r>
              <w:rPr>
                <w:rFonts w:hint="eastAsia" w:ascii="宋体" w:hAnsi="宋体" w:eastAsia="宋体" w:cs="宋体"/>
                <w:color w:val="000000"/>
                <w:kern w:val="2"/>
                <w:sz w:val="24"/>
                <w:szCs w:val="24"/>
              </w:rPr>
              <w:t>15</w:t>
            </w:r>
          </w:p>
        </w:tc>
        <w:tc>
          <w:tcPr>
            <w:tcW w:w="675" w:type="dxa"/>
            <w:tcBorders>
              <w:left w:val="nil"/>
              <w:right w:val="single" w:color="auto" w:sz="4" w:space="0"/>
            </w:tcBorders>
            <w:vAlign w:val="center"/>
          </w:tcPr>
          <w:p>
            <w:pPr>
              <w:spacing w:line="360" w:lineRule="auto"/>
              <w:jc w:val="center"/>
              <w:rPr>
                <w:rFonts w:ascii="宋体" w:hAnsi="宋体" w:eastAsia="宋体" w:cs="宋体"/>
                <w:color w:val="000000"/>
                <w:kern w:val="2"/>
                <w:sz w:val="24"/>
                <w:szCs w:val="24"/>
              </w:rPr>
            </w:pPr>
            <w:r>
              <w:rPr>
                <w:rFonts w:hint="eastAsia" w:ascii="宋体" w:hAnsi="宋体" w:eastAsia="宋体" w:cs="宋体"/>
                <w:color w:val="000000"/>
                <w:kern w:val="2"/>
                <w:sz w:val="24"/>
                <w:szCs w:val="24"/>
              </w:rPr>
              <w:t>0</w:t>
            </w:r>
          </w:p>
        </w:tc>
        <w:tc>
          <w:tcPr>
            <w:tcW w:w="675" w:type="dxa"/>
            <w:tcBorders>
              <w:left w:val="nil"/>
              <w:right w:val="single" w:color="auto" w:sz="4" w:space="0"/>
            </w:tcBorders>
            <w:vAlign w:val="center"/>
          </w:tcPr>
          <w:p>
            <w:pPr>
              <w:spacing w:line="360" w:lineRule="auto"/>
              <w:jc w:val="center"/>
              <w:rPr>
                <w:rFonts w:ascii="宋体" w:hAnsi="宋体" w:eastAsia="宋体" w:cs="宋体"/>
                <w:color w:val="000000"/>
                <w:kern w:val="2"/>
                <w:sz w:val="24"/>
                <w:szCs w:val="24"/>
              </w:rPr>
            </w:pPr>
            <w:r>
              <w:rPr>
                <w:rFonts w:hint="eastAsia" w:ascii="宋体" w:hAnsi="宋体" w:eastAsia="宋体" w:cs="宋体"/>
                <w:color w:val="000000"/>
                <w:kern w:val="2"/>
                <w:sz w:val="24"/>
                <w:szCs w:val="24"/>
              </w:rPr>
              <w:t>4</w:t>
            </w:r>
          </w:p>
        </w:tc>
        <w:tc>
          <w:tcPr>
            <w:tcW w:w="675" w:type="dxa"/>
            <w:tcBorders>
              <w:left w:val="nil"/>
              <w:right w:val="single" w:color="auto" w:sz="4" w:space="0"/>
            </w:tcBorders>
            <w:vAlign w:val="center"/>
          </w:tcPr>
          <w:p>
            <w:pPr>
              <w:spacing w:line="360" w:lineRule="auto"/>
              <w:jc w:val="center"/>
              <w:rPr>
                <w:rFonts w:ascii="宋体" w:hAnsi="宋体" w:eastAsia="宋体" w:cs="宋体"/>
                <w:color w:val="000000"/>
                <w:kern w:val="2"/>
                <w:sz w:val="24"/>
                <w:szCs w:val="24"/>
              </w:rPr>
            </w:pPr>
            <w:r>
              <w:rPr>
                <w:rFonts w:hint="eastAsia" w:ascii="宋体" w:hAnsi="宋体" w:eastAsia="宋体" w:cs="宋体"/>
                <w:color w:val="000000"/>
                <w:kern w:val="2"/>
                <w:sz w:val="24"/>
                <w:szCs w:val="24"/>
              </w:rPr>
              <w:t>11</w:t>
            </w:r>
          </w:p>
        </w:tc>
        <w:tc>
          <w:tcPr>
            <w:tcW w:w="793" w:type="dxa"/>
            <w:tcBorders>
              <w:left w:val="nil"/>
              <w:right w:val="single" w:color="auto" w:sz="4" w:space="0"/>
            </w:tcBorders>
            <w:vAlign w:val="center"/>
          </w:tcPr>
          <w:p>
            <w:pPr>
              <w:spacing w:line="360" w:lineRule="auto"/>
              <w:jc w:val="center"/>
              <w:rPr>
                <w:rFonts w:ascii="宋体" w:hAnsi="宋体" w:eastAsia="宋体" w:cs="宋体"/>
                <w:color w:val="000000"/>
                <w:kern w:val="2"/>
                <w:sz w:val="24"/>
                <w:szCs w:val="24"/>
              </w:rPr>
            </w:pPr>
            <w:r>
              <w:rPr>
                <w:rFonts w:hint="eastAsia" w:ascii="宋体" w:hAnsi="宋体" w:eastAsia="宋体" w:cs="宋体"/>
                <w:color w:val="000000"/>
                <w:kern w:val="2"/>
                <w:sz w:val="24"/>
                <w:szCs w:val="24"/>
              </w:rPr>
              <w:t>0</w:t>
            </w:r>
          </w:p>
        </w:tc>
        <w:tc>
          <w:tcPr>
            <w:tcW w:w="640" w:type="dxa"/>
            <w:tcBorders>
              <w:left w:val="nil"/>
              <w:right w:val="single" w:color="auto" w:sz="4" w:space="0"/>
            </w:tcBorders>
            <w:vAlign w:val="center"/>
          </w:tcPr>
          <w:p>
            <w:pPr>
              <w:spacing w:line="360" w:lineRule="auto"/>
              <w:jc w:val="center"/>
              <w:rPr>
                <w:rFonts w:ascii="宋体" w:hAnsi="宋体" w:eastAsia="宋体" w:cs="宋体"/>
                <w:color w:val="000000"/>
                <w:kern w:val="2"/>
                <w:sz w:val="24"/>
                <w:szCs w:val="24"/>
              </w:rPr>
            </w:pPr>
            <w:r>
              <w:rPr>
                <w:rFonts w:hint="eastAsia" w:ascii="宋体" w:hAnsi="宋体" w:eastAsia="宋体" w:cs="宋体"/>
                <w:color w:val="000000"/>
                <w:kern w:val="2"/>
                <w:sz w:val="24"/>
                <w:szCs w:val="24"/>
              </w:rPr>
              <w:t>22</w:t>
            </w:r>
          </w:p>
        </w:tc>
        <w:tc>
          <w:tcPr>
            <w:tcW w:w="592" w:type="dxa"/>
            <w:tcBorders>
              <w:left w:val="nil"/>
              <w:right w:val="single" w:color="auto" w:sz="4" w:space="0"/>
            </w:tcBorders>
            <w:vAlign w:val="center"/>
          </w:tcPr>
          <w:p>
            <w:pPr>
              <w:spacing w:line="360" w:lineRule="auto"/>
              <w:jc w:val="center"/>
              <w:rPr>
                <w:rFonts w:ascii="宋体" w:hAnsi="宋体" w:eastAsia="宋体" w:cs="宋体"/>
                <w:color w:val="000000"/>
                <w:kern w:val="2"/>
                <w:sz w:val="24"/>
                <w:szCs w:val="24"/>
              </w:rPr>
            </w:pPr>
            <w:r>
              <w:rPr>
                <w:rFonts w:hint="eastAsia" w:ascii="宋体" w:hAnsi="宋体" w:eastAsia="宋体" w:cs="宋体"/>
                <w:color w:val="000000"/>
                <w:kern w:val="2"/>
                <w:sz w:val="24"/>
                <w:szCs w:val="24"/>
              </w:rPr>
              <w:t>0</w:t>
            </w:r>
          </w:p>
        </w:tc>
        <w:tc>
          <w:tcPr>
            <w:tcW w:w="675" w:type="dxa"/>
            <w:tcBorders>
              <w:left w:val="nil"/>
              <w:right w:val="single" w:color="auto" w:sz="4" w:space="0"/>
            </w:tcBorders>
            <w:vAlign w:val="center"/>
          </w:tcPr>
          <w:p>
            <w:pPr>
              <w:spacing w:line="360" w:lineRule="auto"/>
              <w:jc w:val="center"/>
              <w:rPr>
                <w:rFonts w:ascii="宋体" w:hAnsi="宋体" w:eastAsia="宋体" w:cs="宋体"/>
                <w:color w:val="000000"/>
                <w:kern w:val="2"/>
                <w:sz w:val="24"/>
                <w:szCs w:val="24"/>
              </w:rPr>
            </w:pPr>
            <w:r>
              <w:rPr>
                <w:rFonts w:hint="eastAsia" w:ascii="宋体" w:hAnsi="宋体" w:eastAsia="宋体" w:cs="宋体"/>
                <w:color w:val="000000"/>
                <w:kern w:val="2"/>
                <w:sz w:val="24"/>
                <w:szCs w:val="24"/>
              </w:rPr>
              <w:t>0</w:t>
            </w:r>
          </w:p>
        </w:tc>
        <w:tc>
          <w:tcPr>
            <w:tcW w:w="675" w:type="dxa"/>
            <w:tcBorders>
              <w:left w:val="nil"/>
              <w:right w:val="single" w:color="auto" w:sz="4" w:space="0"/>
            </w:tcBorders>
            <w:vAlign w:val="center"/>
          </w:tcPr>
          <w:p>
            <w:pPr>
              <w:spacing w:line="360" w:lineRule="auto"/>
              <w:jc w:val="center"/>
              <w:rPr>
                <w:rFonts w:ascii="宋体" w:hAnsi="宋体" w:eastAsia="宋体" w:cs="宋体"/>
                <w:color w:val="000000"/>
                <w:kern w:val="2"/>
                <w:sz w:val="24"/>
                <w:szCs w:val="24"/>
              </w:rPr>
            </w:pPr>
            <w:r>
              <w:rPr>
                <w:rFonts w:hint="eastAsia" w:ascii="宋体" w:hAnsi="宋体" w:eastAsia="宋体" w:cs="宋体"/>
                <w:color w:val="000000"/>
                <w:kern w:val="2"/>
                <w:sz w:val="24"/>
                <w:szCs w:val="24"/>
              </w:rPr>
              <w:t>22</w:t>
            </w:r>
          </w:p>
        </w:tc>
        <w:tc>
          <w:tcPr>
            <w:tcW w:w="820" w:type="dxa"/>
            <w:tcBorders>
              <w:left w:val="nil"/>
              <w:right w:val="single" w:color="auto" w:sz="4" w:space="0"/>
            </w:tcBorders>
            <w:vAlign w:val="center"/>
          </w:tcPr>
          <w:p>
            <w:pPr>
              <w:spacing w:line="360" w:lineRule="auto"/>
              <w:jc w:val="center"/>
              <w:rPr>
                <w:rFonts w:ascii="宋体" w:hAnsi="宋体" w:eastAsia="宋体" w:cs="宋体"/>
                <w:color w:val="000000"/>
                <w:kern w:val="2"/>
                <w:sz w:val="24"/>
                <w:szCs w:val="24"/>
              </w:rPr>
            </w:pPr>
            <w:r>
              <w:rPr>
                <w:rFonts w:hint="eastAsia" w:ascii="宋体" w:hAnsi="宋体" w:eastAsia="宋体" w:cs="宋体"/>
                <w:color w:val="000000"/>
                <w:kern w:val="2"/>
                <w:sz w:val="24"/>
                <w:szCs w:val="24"/>
              </w:rPr>
              <w:t>0</w:t>
            </w:r>
          </w:p>
        </w:tc>
      </w:tr>
    </w:tbl>
    <w:p>
      <w:pPr>
        <w:spacing w:line="360" w:lineRule="auto"/>
        <w:rPr>
          <w:rFonts w:ascii="宋体" w:hAnsi="宋体" w:cs="宋体"/>
          <w:color w:val="000000"/>
          <w:sz w:val="24"/>
        </w:rPr>
      </w:pPr>
    </w:p>
    <w:p>
      <w:pPr>
        <w:widowControl w:val="0"/>
        <w:numPr>
          <w:ilvl w:val="0"/>
          <w:numId w:val="1"/>
        </w:numPr>
        <w:tabs>
          <w:tab w:val="left" w:pos="0"/>
          <w:tab w:val="clear" w:pos="1282"/>
        </w:tabs>
        <w:adjustRightInd/>
        <w:snapToGrid/>
        <w:spacing w:beforeLines="50" w:afterLines="50" w:line="360" w:lineRule="auto"/>
        <w:ind w:left="0" w:firstLine="0"/>
        <w:jc w:val="both"/>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复试组织与管理</w:t>
      </w:r>
    </w:p>
    <w:p>
      <w:pPr>
        <w:pStyle w:val="3"/>
        <w:tabs>
          <w:tab w:val="clear" w:pos="916"/>
          <w:tab w:val="clear" w:pos="1832"/>
          <w:tab w:val="clear" w:pos="2748"/>
        </w:tabs>
        <w:spacing w:line="360" w:lineRule="auto"/>
        <w:jc w:val="both"/>
        <w:rPr>
          <w:rFonts w:ascii="宋体" w:hAnsi="宋体" w:eastAsia="宋体" w:cs="宋体"/>
          <w:color w:val="000000"/>
          <w:kern w:val="2"/>
          <w:sz w:val="24"/>
          <w:szCs w:val="24"/>
        </w:rPr>
      </w:pPr>
      <w:r>
        <w:rPr>
          <w:rFonts w:hint="eastAsia" w:ascii="宋体" w:hAnsi="宋体" w:eastAsia="宋体" w:cs="宋体"/>
          <w:color w:val="000000"/>
          <w:kern w:val="2"/>
          <w:sz w:val="24"/>
          <w:szCs w:val="24"/>
        </w:rPr>
        <w:t>1、学院成立复试领导小组，全面领导复试及录取工作。</w:t>
      </w:r>
    </w:p>
    <w:p>
      <w:pPr>
        <w:pStyle w:val="3"/>
        <w:tabs>
          <w:tab w:val="left" w:pos="1080"/>
          <w:tab w:val="left" w:pos="1980"/>
          <w:tab w:val="clear" w:pos="916"/>
          <w:tab w:val="clear" w:pos="1832"/>
        </w:tabs>
        <w:spacing w:line="360" w:lineRule="auto"/>
        <w:ind w:left="425" w:hanging="424" w:hangingChars="177"/>
        <w:jc w:val="both"/>
        <w:rPr>
          <w:rFonts w:ascii="宋体" w:hAnsi="宋体" w:eastAsia="宋体" w:cs="宋体"/>
          <w:color w:val="000000"/>
          <w:kern w:val="2"/>
          <w:sz w:val="24"/>
          <w:szCs w:val="24"/>
        </w:rPr>
      </w:pPr>
      <w:r>
        <w:rPr>
          <w:rFonts w:hint="eastAsia" w:ascii="宋体" w:hAnsi="宋体" w:eastAsia="宋体" w:cs="宋体"/>
          <w:color w:val="000000"/>
          <w:kern w:val="2"/>
          <w:sz w:val="24"/>
          <w:szCs w:val="24"/>
        </w:rPr>
        <w:t>2、成立复试专家组，负责命题及对考生的复试成绩进行评定，每个复试专家组人数不少于5人，由具有副高以上职称或具有博士学位的教师组成。考生的外语能力、平时成绩、创新及应用能力、专业知识及知识面等由复试专家组成员负责测试并评定成绩。</w:t>
      </w:r>
    </w:p>
    <w:p>
      <w:pPr>
        <w:pStyle w:val="3"/>
        <w:tabs>
          <w:tab w:val="clear" w:pos="916"/>
          <w:tab w:val="clear" w:pos="1832"/>
        </w:tabs>
        <w:spacing w:line="360" w:lineRule="auto"/>
        <w:ind w:left="425" w:hanging="424" w:hangingChars="177"/>
        <w:jc w:val="both"/>
        <w:rPr>
          <w:rFonts w:ascii="宋体" w:hAnsi="宋体" w:eastAsia="宋体" w:cs="宋体"/>
          <w:color w:val="000000"/>
          <w:kern w:val="2"/>
          <w:sz w:val="24"/>
          <w:szCs w:val="24"/>
        </w:rPr>
      </w:pPr>
      <w:r>
        <w:rPr>
          <w:rFonts w:hint="eastAsia" w:ascii="宋体" w:hAnsi="宋体" w:eastAsia="宋体" w:cs="宋体"/>
          <w:color w:val="000000"/>
          <w:kern w:val="2"/>
          <w:sz w:val="24"/>
          <w:szCs w:val="24"/>
        </w:rPr>
        <w:t>3、成立复试工作小组，负责考生的组织、考场秩序的维持、考生身份的验证、复试过程的录音、复试成绩的计算、录入等工作。</w:t>
      </w:r>
    </w:p>
    <w:p>
      <w:pPr>
        <w:pStyle w:val="3"/>
        <w:tabs>
          <w:tab w:val="left" w:pos="1080"/>
          <w:tab w:val="clear" w:pos="916"/>
          <w:tab w:val="clear" w:pos="1832"/>
        </w:tabs>
        <w:spacing w:line="360" w:lineRule="auto"/>
        <w:ind w:left="425" w:hanging="424" w:hangingChars="177"/>
        <w:jc w:val="both"/>
        <w:rPr>
          <w:rFonts w:ascii="宋体" w:hAnsi="宋体" w:eastAsia="宋体" w:cs="宋体"/>
          <w:color w:val="000000"/>
          <w:kern w:val="2"/>
          <w:sz w:val="24"/>
          <w:szCs w:val="24"/>
        </w:rPr>
      </w:pPr>
      <w:r>
        <w:rPr>
          <w:rFonts w:hint="eastAsia" w:ascii="宋体" w:hAnsi="宋体" w:eastAsia="宋体" w:cs="宋体"/>
          <w:color w:val="000000"/>
          <w:kern w:val="2"/>
          <w:sz w:val="24"/>
          <w:szCs w:val="24"/>
        </w:rPr>
        <w:t>4、根据本专业考生数量的情况，</w:t>
      </w:r>
      <w:r>
        <w:rPr>
          <w:rFonts w:hint="eastAsia" w:ascii="宋体" w:hAnsi="宋体" w:eastAsia="宋体" w:cs="宋体"/>
          <w:color w:val="000000"/>
          <w:sz w:val="24"/>
        </w:rPr>
        <w:t>“翻译(专硕)”专业共</w:t>
      </w:r>
      <w:r>
        <w:rPr>
          <w:rFonts w:hint="eastAsia" w:ascii="宋体" w:hAnsi="宋体" w:eastAsia="宋体" w:cs="宋体"/>
          <w:color w:val="000000"/>
          <w:kern w:val="2"/>
          <w:sz w:val="24"/>
          <w:szCs w:val="24"/>
        </w:rPr>
        <w:t>成立3个面试专家组。</w:t>
      </w:r>
    </w:p>
    <w:p>
      <w:pPr>
        <w:pStyle w:val="3"/>
        <w:tabs>
          <w:tab w:val="left" w:pos="1080"/>
          <w:tab w:val="clear" w:pos="916"/>
          <w:tab w:val="clear" w:pos="1832"/>
          <w:tab w:val="clear" w:pos="2748"/>
          <w:tab w:val="clear" w:pos="3664"/>
          <w:tab w:val="clear" w:pos="4580"/>
        </w:tabs>
        <w:spacing w:line="360" w:lineRule="auto"/>
        <w:ind w:left="425" w:hanging="424" w:hangingChars="177"/>
        <w:jc w:val="both"/>
        <w:rPr>
          <w:rFonts w:ascii="宋体" w:hAnsi="宋体" w:eastAsia="宋体" w:cs="宋体"/>
          <w:color w:val="000000"/>
          <w:kern w:val="2"/>
          <w:sz w:val="24"/>
          <w:szCs w:val="24"/>
        </w:rPr>
      </w:pPr>
      <w:r>
        <w:rPr>
          <w:rFonts w:hint="eastAsia" w:ascii="宋体" w:hAnsi="宋体" w:eastAsia="宋体" w:cs="宋体"/>
          <w:color w:val="000000"/>
          <w:kern w:val="2"/>
          <w:sz w:val="24"/>
          <w:szCs w:val="24"/>
        </w:rPr>
        <w:t>5、复试前学院召开专家组会议，统一成绩评定标准。复试面试在3月28日（周日）一天完成。</w:t>
      </w:r>
    </w:p>
    <w:p>
      <w:pPr>
        <w:pStyle w:val="3"/>
        <w:tabs>
          <w:tab w:val="left" w:pos="1080"/>
          <w:tab w:val="clear" w:pos="916"/>
          <w:tab w:val="clear" w:pos="1832"/>
        </w:tabs>
        <w:spacing w:line="360" w:lineRule="auto"/>
        <w:jc w:val="both"/>
        <w:rPr>
          <w:rFonts w:ascii="宋体" w:hAnsi="宋体" w:eastAsia="宋体" w:cs="宋体"/>
          <w:color w:val="000000"/>
          <w:sz w:val="24"/>
          <w:szCs w:val="24"/>
        </w:rPr>
      </w:pPr>
      <w:r>
        <w:rPr>
          <w:rFonts w:hint="eastAsia" w:ascii="宋体" w:hAnsi="宋体" w:eastAsia="宋体" w:cs="宋体"/>
          <w:color w:val="000000"/>
          <w:kern w:val="2"/>
          <w:sz w:val="24"/>
          <w:szCs w:val="24"/>
        </w:rPr>
        <w:t>6、面试过程进行全程录音、录像。</w:t>
      </w:r>
    </w:p>
    <w:p>
      <w:pPr>
        <w:widowControl w:val="0"/>
        <w:numPr>
          <w:ilvl w:val="0"/>
          <w:numId w:val="1"/>
        </w:numPr>
        <w:tabs>
          <w:tab w:val="left" w:pos="0"/>
          <w:tab w:val="clear" w:pos="1282"/>
        </w:tabs>
        <w:adjustRightInd/>
        <w:snapToGrid/>
        <w:spacing w:beforeLines="50" w:afterLines="50" w:line="360" w:lineRule="auto"/>
        <w:ind w:left="0" w:firstLine="0"/>
        <w:jc w:val="both"/>
        <w:rPr>
          <w:rFonts w:cs="宋体" w:asciiTheme="majorEastAsia" w:hAnsiTheme="majorEastAsia" w:eastAsiaTheme="majorEastAsia"/>
          <w:b/>
          <w:color w:val="000000"/>
          <w:sz w:val="28"/>
          <w:szCs w:val="28"/>
        </w:rPr>
      </w:pPr>
      <w:r>
        <w:rPr>
          <w:rFonts w:hint="eastAsia" w:cs="宋体" w:asciiTheme="majorEastAsia" w:hAnsiTheme="majorEastAsia" w:eastAsiaTheme="majorEastAsia"/>
          <w:b/>
          <w:color w:val="000000"/>
          <w:sz w:val="28"/>
          <w:szCs w:val="28"/>
        </w:rPr>
        <w:t>复试方式</w:t>
      </w:r>
    </w:p>
    <w:p>
      <w:pPr>
        <w:pStyle w:val="4"/>
        <w:shd w:val="clear" w:color="auto" w:fill="FFFFFF"/>
        <w:spacing w:after="180" w:line="360" w:lineRule="auto"/>
        <w:ind w:firstLine="480" w:firstLineChars="200"/>
        <w:jc w:val="both"/>
        <w:rPr>
          <w:rFonts w:ascii="宋体" w:hAnsi="宋体" w:cs="宋体"/>
          <w:color w:val="000000"/>
          <w:kern w:val="2"/>
        </w:rPr>
      </w:pPr>
      <w:r>
        <w:rPr>
          <w:rFonts w:hint="eastAsia" w:ascii="宋体" w:hAnsi="宋体" w:cs="宋体"/>
          <w:color w:val="000000"/>
          <w:kern w:val="2"/>
        </w:rPr>
        <w:t>根据当前疫情防控要求和上级主管部门工作部署，我院按照学校要求，在确保安全性、公平性和科学性的基础上，采用线下现场复试的方式，所有复试考生必须到我校现场参加复试。</w:t>
      </w:r>
    </w:p>
    <w:p>
      <w:pPr>
        <w:widowControl w:val="0"/>
        <w:numPr>
          <w:ilvl w:val="0"/>
          <w:numId w:val="1"/>
        </w:numPr>
        <w:tabs>
          <w:tab w:val="left" w:pos="0"/>
          <w:tab w:val="clear" w:pos="1282"/>
        </w:tabs>
        <w:adjustRightInd/>
        <w:snapToGrid/>
        <w:spacing w:beforeLines="50" w:afterLines="50" w:line="360" w:lineRule="auto"/>
        <w:ind w:left="0" w:firstLine="0"/>
        <w:jc w:val="both"/>
        <w:rPr>
          <w:rFonts w:cs="宋体" w:asciiTheme="majorEastAsia" w:hAnsiTheme="majorEastAsia" w:eastAsiaTheme="majorEastAsia"/>
          <w:b/>
          <w:color w:val="000000"/>
          <w:sz w:val="28"/>
          <w:szCs w:val="28"/>
        </w:rPr>
      </w:pPr>
      <w:r>
        <w:rPr>
          <w:rFonts w:hint="eastAsia" w:cs="宋体" w:asciiTheme="majorEastAsia" w:hAnsiTheme="majorEastAsia" w:eastAsiaTheme="majorEastAsia"/>
          <w:b/>
          <w:color w:val="000000"/>
          <w:sz w:val="28"/>
          <w:szCs w:val="28"/>
        </w:rPr>
        <w:t>复试内容及复试程序</w:t>
      </w:r>
    </w:p>
    <w:p>
      <w:pPr>
        <w:pStyle w:val="4"/>
        <w:widowControl/>
        <w:shd w:val="clear" w:color="auto" w:fill="FFFFFF"/>
        <w:spacing w:beforeAutospacing="0" w:after="180" w:afterAutospacing="0" w:line="360" w:lineRule="auto"/>
        <w:ind w:firstLine="480" w:firstLineChars="200"/>
        <w:rPr>
          <w:rFonts w:ascii="宋体" w:hAnsi="宋体" w:cs="宋体"/>
          <w:color w:val="000000"/>
          <w:kern w:val="2"/>
        </w:rPr>
      </w:pPr>
      <w:r>
        <w:rPr>
          <w:rFonts w:hint="eastAsia" w:ascii="宋体" w:hAnsi="宋体" w:cs="宋体"/>
          <w:color w:val="000000"/>
          <w:kern w:val="2"/>
        </w:rPr>
        <w:t>复试包括资格审查、心理素质测试、外语口语测试、专业课笔试、综合面试、同等学力加试、思想政治品德考核等内容。所有复试成绩之和满分为300分。</w:t>
      </w:r>
    </w:p>
    <w:p>
      <w:pPr>
        <w:pStyle w:val="4"/>
        <w:widowControl/>
        <w:shd w:val="clear" w:color="auto" w:fill="FFFFFF"/>
        <w:spacing w:beforeAutospacing="0" w:after="180" w:afterAutospacing="0" w:line="360" w:lineRule="auto"/>
        <w:rPr>
          <w:rFonts w:ascii="宋体" w:hAnsi="宋体" w:cs="宋体"/>
          <w:color w:val="000000"/>
          <w:kern w:val="2"/>
        </w:rPr>
      </w:pPr>
      <w:r>
        <w:rPr>
          <w:rFonts w:hint="eastAsia" w:ascii="宋体" w:hAnsi="宋体" w:cs="宋体"/>
          <w:color w:val="000000"/>
          <w:kern w:val="2"/>
        </w:rPr>
        <w:t>1、资格审查</w:t>
      </w:r>
    </w:p>
    <w:p>
      <w:pPr>
        <w:spacing w:line="360" w:lineRule="auto"/>
        <w:ind w:firstLine="480" w:firstLineChars="200"/>
        <w:rPr>
          <w:rFonts w:ascii="宋体" w:hAnsi="宋体" w:cs="宋体"/>
          <w:b/>
          <w:color w:val="000000"/>
          <w:sz w:val="24"/>
        </w:rPr>
      </w:pPr>
      <w:r>
        <w:rPr>
          <w:rFonts w:hint="eastAsia" w:ascii="宋体" w:hAnsi="宋体" w:cs="宋体"/>
          <w:color w:val="000000"/>
          <w:sz w:val="24"/>
        </w:rPr>
        <w:t>2021年3月27日（周六）</w:t>
      </w:r>
      <w:r>
        <w:rPr>
          <w:rFonts w:hint="eastAsia" w:ascii="宋体" w:hAnsi="宋体" w:cs="宋体"/>
          <w:b/>
          <w:color w:val="000000"/>
          <w:sz w:val="24"/>
        </w:rPr>
        <w:t>上午9：00—10</w:t>
      </w:r>
      <w:r>
        <w:rPr>
          <w:rFonts w:ascii="宋体" w:hAnsi="宋体" w:cs="宋体"/>
          <w:b/>
          <w:color w:val="000000"/>
          <w:sz w:val="24"/>
        </w:rPr>
        <w:t>:00</w:t>
      </w:r>
      <w:r>
        <w:rPr>
          <w:rFonts w:hint="eastAsia" w:ascii="宋体" w:hAnsi="宋体" w:cs="宋体"/>
          <w:b/>
          <w:color w:val="000000"/>
          <w:sz w:val="24"/>
        </w:rPr>
        <w:t>到文德楼</w:t>
      </w:r>
      <w:r>
        <w:rPr>
          <w:rFonts w:ascii="宋体" w:hAnsi="宋体" w:cs="宋体"/>
          <w:b/>
          <w:color w:val="000000"/>
          <w:sz w:val="24"/>
        </w:rPr>
        <w:t>N402(</w:t>
      </w:r>
      <w:r>
        <w:rPr>
          <w:rFonts w:hint="eastAsia" w:ascii="宋体" w:hAnsi="宋体" w:cs="宋体"/>
          <w:b/>
          <w:color w:val="000000"/>
          <w:sz w:val="24"/>
        </w:rPr>
        <w:t>文学院会议室</w:t>
      </w:r>
      <w:r>
        <w:rPr>
          <w:rFonts w:ascii="宋体" w:hAnsi="宋体" w:cs="宋体"/>
          <w:b/>
          <w:color w:val="000000"/>
          <w:sz w:val="24"/>
        </w:rPr>
        <w:t>)</w:t>
      </w:r>
      <w:r>
        <w:rPr>
          <w:rFonts w:hint="eastAsia" w:ascii="宋体" w:hAnsi="宋体" w:cs="宋体"/>
          <w:b/>
          <w:color w:val="000000"/>
          <w:sz w:val="24"/>
        </w:rPr>
        <w:t>接受资格审查，同时领取复试通知书。</w:t>
      </w:r>
    </w:p>
    <w:p>
      <w:pPr>
        <w:pStyle w:val="4"/>
        <w:widowControl/>
        <w:shd w:val="clear" w:color="auto" w:fill="FFFFFF"/>
        <w:spacing w:beforeAutospacing="0" w:after="180" w:afterAutospacing="0" w:line="360" w:lineRule="auto"/>
        <w:ind w:firstLine="336"/>
        <w:rPr>
          <w:rFonts w:ascii="宋体" w:hAnsi="宋体" w:cs="宋体"/>
          <w:color w:val="000000"/>
          <w:kern w:val="2"/>
        </w:rPr>
      </w:pPr>
      <w:r>
        <w:rPr>
          <w:rFonts w:hint="eastAsia" w:ascii="宋体" w:hAnsi="宋体" w:cs="宋体"/>
          <w:color w:val="000000"/>
          <w:kern w:val="2"/>
        </w:rPr>
        <w:t>资格审查时，考生需携带以下材料：</w:t>
      </w:r>
    </w:p>
    <w:p>
      <w:pPr>
        <w:pStyle w:val="4"/>
        <w:widowControl/>
        <w:shd w:val="clear" w:color="auto" w:fill="FFFFFF"/>
        <w:spacing w:beforeAutospacing="0" w:after="180" w:afterAutospacing="0" w:line="360" w:lineRule="auto"/>
        <w:ind w:firstLine="336"/>
        <w:rPr>
          <w:rFonts w:ascii="宋体" w:hAnsi="宋体" w:cs="宋体"/>
          <w:color w:val="000000"/>
          <w:kern w:val="2"/>
        </w:rPr>
      </w:pPr>
      <w:r>
        <w:rPr>
          <w:rFonts w:hint="eastAsia" w:ascii="宋体" w:hAnsi="宋体" w:cs="宋体"/>
          <w:color w:val="000000"/>
          <w:kern w:val="2"/>
        </w:rPr>
        <w:t>（1）《复试资格审查表》（研究生院网站的</w:t>
      </w:r>
      <w:bookmarkStart w:id="0" w:name="_Hlk67320759"/>
      <w:bookmarkEnd w:id="0"/>
      <w:bookmarkStart w:id="1" w:name="_Hlk67326758"/>
      <w:r>
        <w:rPr>
          <w:rFonts w:hint="eastAsia" w:ascii="宋体" w:hAnsi="宋体" w:cs="宋体"/>
          <w:color w:val="000000"/>
          <w:kern w:val="2"/>
        </w:rPr>
        <w:t>《南京信息工程大学</w:t>
      </w:r>
      <w:r>
        <w:rPr>
          <w:rFonts w:hint="eastAsia" w:ascii="宋体" w:hAnsi="宋体" w:cs="宋体"/>
          <w:color w:val="000000"/>
          <w:kern w:val="2"/>
          <w:lang w:val="en-US"/>
        </w:rPr>
        <w:t>2021</w:t>
      </w:r>
      <w:r>
        <w:rPr>
          <w:rFonts w:hint="eastAsia" w:ascii="宋体" w:hAnsi="宋体" w:cs="宋体"/>
          <w:color w:val="000000"/>
          <w:kern w:val="2"/>
        </w:rPr>
        <w:t>年招收攻读硕士学位研究生复试及录取工作办法》</w:t>
      </w:r>
      <w:bookmarkEnd w:id="1"/>
      <w:r>
        <w:rPr>
          <w:rFonts w:hint="eastAsia" w:ascii="宋体" w:hAnsi="宋体" w:cs="宋体"/>
          <w:color w:val="000000"/>
          <w:kern w:val="2"/>
        </w:rPr>
        <w:t>中的附件</w:t>
      </w:r>
      <w:r>
        <w:rPr>
          <w:rFonts w:hint="eastAsia" w:ascii="宋体" w:hAnsi="宋体" w:cs="宋体"/>
          <w:color w:val="000000"/>
          <w:kern w:val="2"/>
          <w:lang w:val="en-US"/>
        </w:rPr>
        <w:t>4</w:t>
      </w:r>
      <w:r>
        <w:rPr>
          <w:rFonts w:hint="eastAsia" w:ascii="宋体" w:hAnsi="宋体" w:cs="宋体"/>
          <w:color w:val="000000"/>
          <w:kern w:val="2"/>
        </w:rPr>
        <w:t>，需打印并填写完整</w:t>
      </w:r>
      <w:r>
        <w:rPr>
          <w:rFonts w:hint="eastAsia" w:ascii="宋体" w:hAnsi="宋体" w:cs="宋体"/>
          <w:color w:val="000000"/>
          <w:kern w:val="2"/>
        </w:rPr>
        <w:t>）；</w:t>
      </w:r>
    </w:p>
    <w:p>
      <w:pPr>
        <w:pStyle w:val="4"/>
        <w:widowControl/>
        <w:shd w:val="clear" w:color="auto" w:fill="FFFFFF"/>
        <w:spacing w:beforeAutospacing="0" w:after="180" w:afterAutospacing="0" w:line="360" w:lineRule="auto"/>
        <w:ind w:firstLine="336"/>
        <w:rPr>
          <w:rFonts w:ascii="宋体" w:hAnsi="宋体" w:cs="宋体"/>
          <w:color w:val="000000"/>
          <w:kern w:val="2"/>
        </w:rPr>
      </w:pPr>
      <w:r>
        <w:rPr>
          <w:rFonts w:hint="eastAsia" w:ascii="宋体" w:hAnsi="宋体" w:cs="宋体"/>
          <w:color w:val="000000"/>
          <w:kern w:val="2"/>
        </w:rPr>
        <w:t>（2）2021年硕士研究生招生入学考试准考证及复印件；</w:t>
      </w:r>
    </w:p>
    <w:p>
      <w:pPr>
        <w:pStyle w:val="4"/>
        <w:widowControl/>
        <w:shd w:val="clear" w:color="auto" w:fill="FFFFFF"/>
        <w:spacing w:beforeAutospacing="0" w:after="180" w:afterAutospacing="0" w:line="360" w:lineRule="auto"/>
        <w:ind w:firstLine="336"/>
        <w:rPr>
          <w:rFonts w:ascii="宋体" w:hAnsi="宋体" w:cs="宋体"/>
          <w:color w:val="000000"/>
          <w:kern w:val="2"/>
        </w:rPr>
      </w:pPr>
      <w:r>
        <w:rPr>
          <w:rFonts w:hint="eastAsia" w:ascii="宋体" w:hAnsi="宋体" w:cs="宋体"/>
          <w:color w:val="000000"/>
          <w:kern w:val="2"/>
        </w:rPr>
        <w:t>（3）考生第二代身份证原件及复印件；</w:t>
      </w:r>
    </w:p>
    <w:p>
      <w:pPr>
        <w:pStyle w:val="4"/>
        <w:widowControl/>
        <w:shd w:val="clear" w:color="auto" w:fill="FFFFFF"/>
        <w:spacing w:beforeAutospacing="0" w:after="180" w:afterAutospacing="0" w:line="360" w:lineRule="auto"/>
        <w:ind w:firstLine="336"/>
        <w:rPr>
          <w:rFonts w:hint="eastAsia" w:ascii="宋体" w:hAnsi="宋体" w:cs="宋体"/>
          <w:color w:val="000000"/>
          <w:kern w:val="2"/>
        </w:rPr>
      </w:pPr>
      <w:r>
        <w:rPr>
          <w:rFonts w:hint="eastAsia" w:ascii="宋体" w:hAnsi="宋体" w:cs="宋体"/>
          <w:color w:val="000000"/>
          <w:kern w:val="2"/>
        </w:rPr>
        <w:t>（4）2021年应届生提交学生证（原件）及《教育部学籍在线验证报告》（学信网）；往届生提交毕业证书（原件）及《教育部学历证书电子注册备案表》（学信网，申请方式详见</w:t>
      </w:r>
      <w:bookmarkStart w:id="2" w:name="_Hlk67321276"/>
      <w:r>
        <w:rPr>
          <w:rFonts w:hint="eastAsia" w:ascii="宋体" w:hAnsi="宋体" w:cs="宋体"/>
          <w:color w:val="000000"/>
          <w:kern w:val="2"/>
        </w:rPr>
        <w:t>研究生院网站的《南京信息工程大学</w:t>
      </w:r>
      <w:r>
        <w:rPr>
          <w:rFonts w:hint="eastAsia" w:ascii="宋体" w:hAnsi="宋体" w:cs="宋体"/>
          <w:color w:val="000000"/>
          <w:kern w:val="2"/>
          <w:lang w:val="en-US"/>
        </w:rPr>
        <w:t>2021</w:t>
      </w:r>
      <w:r>
        <w:rPr>
          <w:rFonts w:hint="eastAsia" w:ascii="宋体" w:hAnsi="宋体" w:cs="宋体"/>
          <w:color w:val="000000"/>
          <w:kern w:val="2"/>
        </w:rPr>
        <w:t>年招收攻读硕士学位研究生复试及录取工作办法》中的附件</w:t>
      </w:r>
      <w:r>
        <w:rPr>
          <w:rFonts w:hint="eastAsia" w:ascii="宋体" w:hAnsi="宋体" w:cs="宋体"/>
          <w:color w:val="000000"/>
          <w:kern w:val="2"/>
          <w:lang w:val="en-US"/>
        </w:rPr>
        <w:t>5</w:t>
      </w:r>
      <w:bookmarkEnd w:id="2"/>
      <w:r>
        <w:rPr>
          <w:rFonts w:hint="eastAsia" w:ascii="宋体" w:hAnsi="宋体" w:cs="宋体"/>
          <w:color w:val="000000"/>
          <w:kern w:val="2"/>
        </w:rPr>
        <w:t>）</w:t>
      </w:r>
      <w:r>
        <w:rPr>
          <w:rFonts w:hint="eastAsia" w:ascii="宋体" w:hAnsi="宋体" w:cs="宋体"/>
          <w:color w:val="000000"/>
          <w:kern w:val="2"/>
        </w:rPr>
        <w:t>）；</w:t>
      </w:r>
    </w:p>
    <w:p>
      <w:pPr>
        <w:pStyle w:val="4"/>
        <w:widowControl/>
        <w:shd w:val="clear" w:color="auto" w:fill="FFFFFF"/>
        <w:spacing w:beforeAutospacing="0" w:after="180" w:afterAutospacing="0" w:line="360" w:lineRule="auto"/>
        <w:ind w:firstLine="336"/>
        <w:rPr>
          <w:rFonts w:ascii="宋体" w:hAnsi="宋体" w:cs="宋体"/>
          <w:color w:val="000000"/>
          <w:kern w:val="2"/>
        </w:rPr>
      </w:pPr>
      <w:r>
        <w:rPr>
          <w:rFonts w:hint="eastAsia" w:ascii="宋体" w:hAnsi="宋体" w:cs="宋体"/>
          <w:color w:val="000000"/>
          <w:kern w:val="2"/>
        </w:rPr>
        <w:t>（5）考生大学期间成绩单（加盖学校教务或档案管理部门公章）；</w:t>
      </w:r>
    </w:p>
    <w:p>
      <w:pPr>
        <w:pStyle w:val="4"/>
        <w:widowControl/>
        <w:shd w:val="clear" w:color="auto" w:fill="FFFFFF"/>
        <w:spacing w:beforeAutospacing="0" w:after="180" w:afterAutospacing="0" w:line="360" w:lineRule="auto"/>
        <w:ind w:firstLine="336"/>
        <w:rPr>
          <w:rFonts w:ascii="宋体" w:hAnsi="宋体" w:cs="宋体"/>
          <w:color w:val="000000"/>
          <w:kern w:val="2"/>
        </w:rPr>
      </w:pPr>
      <w:r>
        <w:rPr>
          <w:rFonts w:hint="eastAsia" w:ascii="宋体" w:hAnsi="宋体" w:cs="宋体"/>
          <w:color w:val="000000"/>
          <w:kern w:val="2"/>
        </w:rPr>
        <w:t>（6）思想政治素质和品德考核表（</w:t>
      </w:r>
      <w:bookmarkStart w:id="3" w:name="_Hlk67321426"/>
      <w:r>
        <w:rPr>
          <w:rFonts w:hint="eastAsia" w:ascii="宋体" w:hAnsi="宋体" w:cs="宋体"/>
          <w:color w:val="000000"/>
          <w:kern w:val="2"/>
        </w:rPr>
        <w:t>研究生院网站的《南京信息工程大学</w:t>
      </w:r>
      <w:r>
        <w:rPr>
          <w:rFonts w:hint="eastAsia" w:ascii="宋体" w:hAnsi="宋体" w:cs="宋体"/>
          <w:color w:val="000000"/>
          <w:kern w:val="2"/>
          <w:lang w:val="en-US"/>
        </w:rPr>
        <w:t>2021</w:t>
      </w:r>
      <w:r>
        <w:rPr>
          <w:rFonts w:hint="eastAsia" w:ascii="宋体" w:hAnsi="宋体" w:cs="宋体"/>
          <w:color w:val="000000"/>
          <w:kern w:val="2"/>
        </w:rPr>
        <w:t>年招收攻读硕士学位研究生复试及录取工作办法》中的附件</w:t>
      </w:r>
      <w:r>
        <w:rPr>
          <w:rFonts w:hint="eastAsia" w:ascii="宋体" w:hAnsi="宋体" w:cs="宋体"/>
          <w:color w:val="000000"/>
          <w:kern w:val="2"/>
          <w:lang w:val="en-US"/>
        </w:rPr>
        <w:t>6</w:t>
      </w:r>
      <w:bookmarkEnd w:id="3"/>
      <w:r>
        <w:rPr>
          <w:rFonts w:hint="eastAsia" w:ascii="宋体" w:hAnsi="宋体" w:cs="宋体"/>
          <w:color w:val="000000"/>
          <w:kern w:val="2"/>
        </w:rPr>
        <w:t>，需加盖考核单位公章。应届生由所在高校学生管理部门填写；在职考生由工作单位的政工或人事部门填写；未就业考生由本人人事档案或户籍管理部门填写）</w:t>
      </w:r>
      <w:r>
        <w:rPr>
          <w:rFonts w:hint="eastAsia" w:ascii="宋体" w:hAnsi="宋体" w:cs="宋体"/>
          <w:color w:val="000000"/>
          <w:kern w:val="2"/>
        </w:rPr>
        <w:t>；</w:t>
      </w:r>
    </w:p>
    <w:p>
      <w:pPr>
        <w:pStyle w:val="4"/>
        <w:widowControl/>
        <w:shd w:val="clear" w:color="auto" w:fill="FFFFFF"/>
        <w:spacing w:beforeAutospacing="0" w:after="180" w:afterAutospacing="0" w:line="360" w:lineRule="auto"/>
        <w:ind w:firstLine="336"/>
        <w:rPr>
          <w:rFonts w:hint="eastAsia" w:ascii="宋体" w:hAnsi="宋体" w:cs="宋体"/>
          <w:color w:val="000000"/>
          <w:kern w:val="2"/>
        </w:rPr>
      </w:pPr>
      <w:r>
        <w:rPr>
          <w:rFonts w:hint="eastAsia" w:ascii="宋体" w:hAnsi="宋体" w:cs="宋体"/>
          <w:color w:val="000000"/>
          <w:kern w:val="2"/>
        </w:rPr>
        <w:t>（7）考生个人简历及自述（研究生院网站的《南京信息工程大学</w:t>
      </w:r>
      <w:r>
        <w:rPr>
          <w:rFonts w:hint="eastAsia" w:ascii="宋体" w:hAnsi="宋体" w:cs="宋体"/>
          <w:color w:val="000000"/>
          <w:kern w:val="2"/>
          <w:lang w:val="en-US"/>
        </w:rPr>
        <w:t>2021</w:t>
      </w:r>
      <w:r>
        <w:rPr>
          <w:rFonts w:hint="eastAsia" w:ascii="宋体" w:hAnsi="宋体" w:cs="宋体"/>
          <w:color w:val="000000"/>
          <w:kern w:val="2"/>
        </w:rPr>
        <w:t>年招收攻读硕士学位研究生复试及录取工作办法》中的附件</w:t>
      </w:r>
      <w:r>
        <w:rPr>
          <w:rFonts w:hint="eastAsia" w:ascii="宋体" w:hAnsi="宋体" w:cs="宋体"/>
          <w:color w:val="000000"/>
          <w:kern w:val="2"/>
          <w:lang w:val="en-US"/>
        </w:rPr>
        <w:t>7</w:t>
      </w:r>
      <w:r>
        <w:rPr>
          <w:rFonts w:hint="eastAsia" w:ascii="宋体" w:hAnsi="宋体" w:cs="宋体"/>
          <w:color w:val="000000"/>
          <w:kern w:val="2"/>
        </w:rPr>
        <w:t>）；</w:t>
      </w:r>
    </w:p>
    <w:p>
      <w:pPr>
        <w:pStyle w:val="4"/>
        <w:widowControl/>
        <w:shd w:val="clear" w:color="auto" w:fill="FFFFFF"/>
        <w:spacing w:beforeAutospacing="0" w:after="180" w:afterAutospacing="0" w:line="360" w:lineRule="auto"/>
        <w:ind w:firstLine="336"/>
        <w:rPr>
          <w:rFonts w:ascii="宋体" w:hAnsi="宋体" w:cs="宋体"/>
          <w:color w:val="000000"/>
          <w:kern w:val="2"/>
        </w:rPr>
      </w:pPr>
      <w:r>
        <w:rPr>
          <w:rFonts w:hint="eastAsia" w:ascii="宋体" w:hAnsi="宋体" w:cs="宋体"/>
          <w:color w:val="000000"/>
          <w:kern w:val="2"/>
        </w:rPr>
        <w:t>（8）考生CET-4、6级考试成绩单及复印件；</w:t>
      </w:r>
    </w:p>
    <w:p>
      <w:pPr>
        <w:pStyle w:val="4"/>
        <w:widowControl/>
        <w:shd w:val="clear" w:color="auto" w:fill="FFFFFF"/>
        <w:spacing w:beforeAutospacing="0" w:after="180" w:afterAutospacing="0" w:line="360" w:lineRule="auto"/>
        <w:ind w:firstLine="336"/>
        <w:rPr>
          <w:rFonts w:ascii="宋体" w:hAnsi="宋体" w:cs="宋体"/>
          <w:color w:val="000000"/>
          <w:kern w:val="2"/>
        </w:rPr>
      </w:pPr>
      <w:r>
        <w:rPr>
          <w:rFonts w:hint="eastAsia" w:ascii="宋体" w:hAnsi="宋体" w:cs="宋体"/>
          <w:color w:val="000000"/>
          <w:kern w:val="2"/>
        </w:rPr>
        <w:t>（9）考生健康应试承诺书；</w:t>
      </w:r>
    </w:p>
    <w:p>
      <w:pPr>
        <w:pStyle w:val="4"/>
        <w:widowControl/>
        <w:shd w:val="clear" w:color="auto" w:fill="FFFFFF"/>
        <w:spacing w:beforeAutospacing="0" w:after="180" w:afterAutospacing="0" w:line="360" w:lineRule="auto"/>
        <w:ind w:firstLine="336"/>
        <w:rPr>
          <w:rFonts w:ascii="宋体" w:hAnsi="宋体" w:cs="宋体"/>
          <w:color w:val="000000"/>
          <w:kern w:val="2"/>
        </w:rPr>
      </w:pPr>
      <w:r>
        <w:rPr>
          <w:rFonts w:hint="eastAsia" w:ascii="宋体" w:hAnsi="宋体" w:cs="宋体"/>
          <w:color w:val="000000"/>
          <w:kern w:val="2"/>
        </w:rPr>
        <w:t>（10）复试费80元，扫描以下二维码，如实填写本人信息后于2021年3月25日16:00前支付；</w:t>
      </w:r>
    </w:p>
    <w:p>
      <w:pPr>
        <w:pStyle w:val="4"/>
        <w:widowControl/>
        <w:shd w:val="clear" w:color="auto" w:fill="FFFFFF"/>
        <w:spacing w:beforeAutospacing="0" w:after="180" w:afterAutospacing="0" w:line="360" w:lineRule="auto"/>
        <w:jc w:val="center"/>
        <w:rPr>
          <w:rFonts w:ascii="黑体" w:hAnsi="宋体" w:eastAsia="黑体" w:cs="黑体"/>
          <w:color w:val="333333"/>
          <w:sz w:val="16"/>
          <w:szCs w:val="16"/>
        </w:rPr>
      </w:pPr>
      <w:r>
        <w:rPr>
          <w:rFonts w:hint="eastAsia" w:ascii="黑体" w:hAnsi="宋体" w:eastAsia="黑体" w:cs="黑体"/>
          <w:color w:val="333333"/>
          <w:sz w:val="16"/>
          <w:szCs w:val="16"/>
          <w:bdr w:val="single" w:color="CCCCCC" w:sz="4" w:space="0"/>
          <w:shd w:val="clear" w:color="auto" w:fill="FFFFFF"/>
        </w:rPr>
        <w:drawing>
          <wp:inline distT="0" distB="0" distL="114300" distR="114300">
            <wp:extent cx="3000375" cy="3733800"/>
            <wp:effectExtent l="0" t="0" r="190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cstate="print"/>
                    <a:stretch>
                      <a:fillRect/>
                    </a:stretch>
                  </pic:blipFill>
                  <pic:spPr>
                    <a:xfrm>
                      <a:off x="0" y="0"/>
                      <a:ext cx="3000375" cy="3733800"/>
                    </a:xfrm>
                    <a:prstGeom prst="rect">
                      <a:avLst/>
                    </a:prstGeom>
                    <a:noFill/>
                    <a:ln w="9525">
                      <a:noFill/>
                    </a:ln>
                  </pic:spPr>
                </pic:pic>
              </a:graphicData>
            </a:graphic>
          </wp:inline>
        </w:drawing>
      </w:r>
    </w:p>
    <w:p>
      <w:pPr>
        <w:pStyle w:val="4"/>
        <w:widowControl/>
        <w:shd w:val="clear" w:color="auto" w:fill="FFFFFF"/>
        <w:spacing w:beforeAutospacing="0" w:after="180" w:afterAutospacing="0" w:line="360" w:lineRule="auto"/>
        <w:ind w:firstLine="720" w:firstLineChars="300"/>
        <w:rPr>
          <w:rFonts w:ascii="宋体" w:hAnsi="宋体" w:cs="宋体"/>
          <w:color w:val="000000"/>
          <w:kern w:val="2"/>
        </w:rPr>
      </w:pPr>
      <w:r>
        <w:rPr>
          <w:rFonts w:hint="eastAsia" w:ascii="宋体" w:hAnsi="宋体" w:cs="宋体"/>
          <w:color w:val="000000"/>
          <w:kern w:val="2"/>
        </w:rPr>
        <w:t>所有材料附件在学校公布的复试和录取办法通知中</w:t>
      </w:r>
      <w:r>
        <w:rPr>
          <w:rFonts w:hint="eastAsia" w:ascii="宋体" w:hAnsi="宋体" w:cs="宋体"/>
          <w:color w:val="000000"/>
          <w:kern w:val="2"/>
          <w:lang w:eastAsia="zh-CN"/>
        </w:rPr>
        <w:t>，</w:t>
      </w:r>
      <w:r>
        <w:rPr>
          <w:rFonts w:hint="eastAsia" w:ascii="宋体" w:hAnsi="宋体" w:cs="宋体"/>
          <w:color w:val="000000"/>
          <w:kern w:val="2"/>
        </w:rPr>
        <w:t>不论是否录取，所交材料含成绩单一律不予退还。</w:t>
      </w:r>
    </w:p>
    <w:p>
      <w:pPr>
        <w:pStyle w:val="4"/>
        <w:widowControl/>
        <w:shd w:val="clear" w:color="auto" w:fill="FFFFFF"/>
        <w:spacing w:beforeAutospacing="0" w:after="180" w:afterAutospacing="0" w:line="360" w:lineRule="auto"/>
        <w:ind w:firstLine="604" w:firstLineChars="252"/>
        <w:rPr>
          <w:rFonts w:hint="eastAsia" w:ascii="宋体" w:hAnsi="宋体" w:cs="宋体"/>
          <w:color w:val="000000"/>
          <w:kern w:val="2"/>
        </w:rPr>
      </w:pPr>
      <w:r>
        <w:rPr>
          <w:rFonts w:hint="eastAsia" w:ascii="宋体" w:hAnsi="宋体" w:cs="宋体"/>
          <w:color w:val="000000"/>
          <w:kern w:val="2"/>
        </w:rPr>
        <w:t>凡未提交资格审查材料或审查未通过的，一律不予参加复试。如果考生材料缺失，要求本人</w:t>
      </w:r>
      <w:r>
        <w:rPr>
          <w:rFonts w:hint="eastAsia" w:ascii="宋体" w:hAnsi="宋体" w:cs="宋体"/>
          <w:color w:val="000000"/>
          <w:kern w:val="2"/>
          <w:lang w:val="en-US" w:eastAsia="zh-CN"/>
        </w:rPr>
        <w:t>出具</w:t>
      </w:r>
      <w:r>
        <w:rPr>
          <w:rFonts w:hint="eastAsia" w:ascii="宋体" w:hAnsi="宋体" w:cs="宋体"/>
          <w:color w:val="000000"/>
          <w:kern w:val="2"/>
        </w:rPr>
        <w:t>书面承诺，承诺在复试后一周内补齐资格审查材料，否则查实后有权取消拟录取资格。</w:t>
      </w:r>
    </w:p>
    <w:p>
      <w:pPr>
        <w:pStyle w:val="4"/>
        <w:widowControl/>
        <w:shd w:val="clear" w:color="auto" w:fill="FFFFFF"/>
        <w:spacing w:beforeAutospacing="0" w:after="180" w:afterAutospacing="0" w:line="360" w:lineRule="auto"/>
        <w:rPr>
          <w:rFonts w:ascii="宋体" w:hAnsi="宋体" w:cs="宋体"/>
          <w:color w:val="000000"/>
          <w:kern w:val="2"/>
        </w:rPr>
      </w:pPr>
      <w:r>
        <w:rPr>
          <w:rFonts w:hint="eastAsia" w:ascii="宋体" w:hAnsi="宋体" w:cs="宋体"/>
          <w:color w:val="000000"/>
          <w:kern w:val="2"/>
        </w:rPr>
        <w:t>2、专业课笔试</w:t>
      </w:r>
    </w:p>
    <w:p>
      <w:pPr>
        <w:pStyle w:val="4"/>
        <w:widowControl/>
        <w:shd w:val="clear" w:color="auto" w:fill="FFFFFF"/>
        <w:spacing w:beforeAutospacing="0" w:after="180" w:afterAutospacing="0" w:line="360" w:lineRule="auto"/>
        <w:ind w:firstLine="480" w:firstLineChars="200"/>
        <w:rPr>
          <w:rFonts w:ascii="宋体" w:hAnsi="宋体" w:cs="宋体"/>
          <w:color w:val="000000"/>
          <w:kern w:val="2"/>
        </w:rPr>
      </w:pPr>
      <w:r>
        <w:rPr>
          <w:rFonts w:hint="eastAsia" w:ascii="宋体" w:hAnsi="宋体" w:cs="宋体"/>
          <w:color w:val="000000"/>
          <w:kern w:val="2"/>
        </w:rPr>
        <w:t>2021年3月27日（周六）下午14:00-17:00，专业课笔试，具体安排以学院通知为准。专业课笔试满分150分，考试时间为3小时，具体科目参见我校研究生院网站《2021年硕士研究生招生专业目录》，考试内容参见《2021年硕士学位研究生招生入学考试大纲》。</w:t>
      </w:r>
    </w:p>
    <w:p>
      <w:pPr>
        <w:pStyle w:val="4"/>
        <w:widowControl/>
        <w:shd w:val="clear" w:color="auto" w:fill="FFFFFF"/>
        <w:spacing w:beforeAutospacing="0" w:after="180" w:afterAutospacing="0" w:line="360" w:lineRule="auto"/>
        <w:ind w:firstLine="480" w:firstLineChars="200"/>
        <w:rPr>
          <w:rFonts w:ascii="宋体" w:hAnsi="宋体" w:cs="宋体"/>
          <w:b/>
          <w:color w:val="000000"/>
          <w:kern w:val="2"/>
        </w:rPr>
      </w:pPr>
      <w:r>
        <w:rPr>
          <w:rFonts w:hint="eastAsia" w:ascii="宋体" w:hAnsi="宋体" w:cs="宋体"/>
          <w:color w:val="000000"/>
          <w:kern w:val="2"/>
        </w:rPr>
        <w:t>考生需携带本人身份证、准考证、复试通知书、黑色水笔参加考试。</w:t>
      </w:r>
      <w:r>
        <w:rPr>
          <w:rFonts w:hint="eastAsia" w:ascii="宋体" w:hAnsi="宋体" w:cs="宋体"/>
          <w:b/>
          <w:color w:val="000000"/>
          <w:kern w:val="2"/>
        </w:rPr>
        <w:t>地点详见复试通知书。</w:t>
      </w:r>
    </w:p>
    <w:p>
      <w:pPr>
        <w:pStyle w:val="4"/>
        <w:widowControl/>
        <w:shd w:val="clear" w:color="auto" w:fill="FFFFFF"/>
        <w:spacing w:beforeAutospacing="0" w:after="180" w:afterAutospacing="0" w:line="360" w:lineRule="auto"/>
        <w:rPr>
          <w:rFonts w:ascii="宋体" w:hAnsi="宋体" w:cs="宋体"/>
          <w:color w:val="000000"/>
          <w:kern w:val="2"/>
        </w:rPr>
      </w:pPr>
      <w:r>
        <w:rPr>
          <w:rFonts w:hint="eastAsia" w:ascii="宋体" w:hAnsi="宋体" w:cs="宋体"/>
          <w:color w:val="000000"/>
          <w:kern w:val="2"/>
        </w:rPr>
        <w:t>3、综合面试、外语口语测试、同等学力加试</w:t>
      </w:r>
    </w:p>
    <w:p>
      <w:pPr>
        <w:pStyle w:val="4"/>
        <w:widowControl/>
        <w:shd w:val="clear" w:color="auto" w:fill="FFFFFF"/>
        <w:spacing w:beforeAutospacing="0" w:after="180" w:afterAutospacing="0" w:line="360" w:lineRule="auto"/>
        <w:ind w:firstLine="480" w:firstLineChars="200"/>
        <w:jc w:val="both"/>
        <w:rPr>
          <w:rFonts w:ascii="宋体" w:hAnsi="宋体" w:cs="宋体"/>
          <w:b/>
          <w:color w:val="000000"/>
          <w:kern w:val="2"/>
        </w:rPr>
      </w:pPr>
      <w:r>
        <w:rPr>
          <w:rFonts w:hint="eastAsia" w:ascii="宋体" w:hAnsi="宋体" w:cs="宋体"/>
          <w:color w:val="000000"/>
          <w:kern w:val="2"/>
        </w:rPr>
        <w:t>2021年3月28日上午8:30正式开始进行综合面试</w:t>
      </w:r>
      <w:r>
        <w:rPr>
          <w:rFonts w:hint="eastAsia" w:ascii="宋体" w:hAnsi="宋体" w:cs="宋体"/>
          <w:kern w:val="2"/>
        </w:rPr>
        <w:t>，</w:t>
      </w:r>
      <w:r>
        <w:rPr>
          <w:rFonts w:hint="eastAsia" w:ascii="宋体" w:hAnsi="宋体" w:cs="宋体"/>
          <w:b/>
          <w:color w:val="000000"/>
          <w:kern w:val="2"/>
        </w:rPr>
        <w:t>面试候考地点详见复试通知书。</w:t>
      </w:r>
    </w:p>
    <w:p>
      <w:pPr>
        <w:pStyle w:val="4"/>
        <w:shd w:val="clear" w:color="auto" w:fill="FFFFFF"/>
        <w:spacing w:after="180" w:line="360" w:lineRule="auto"/>
        <w:ind w:firstLine="480" w:firstLineChars="200"/>
        <w:rPr>
          <w:rFonts w:ascii="宋体" w:hAnsi="宋体" w:cs="宋体"/>
          <w:color w:val="000000"/>
          <w:kern w:val="2"/>
        </w:rPr>
      </w:pPr>
      <w:r>
        <w:rPr>
          <w:rFonts w:hint="eastAsia" w:ascii="宋体" w:hAnsi="宋体" w:cs="宋体"/>
          <w:color w:val="000000"/>
          <w:kern w:val="2"/>
        </w:rPr>
        <w:t>综合面试满分为100分，主要包括平时成绩、创新及应用能力和专业知识结构及综合能力等。综合面试成绩低于60分者，为面试不合格。考虑到翻译专业的特殊性，外语水平测试在综合面试中一并考察，满分为50分。</w:t>
      </w:r>
    </w:p>
    <w:p>
      <w:pPr>
        <w:pStyle w:val="4"/>
        <w:shd w:val="clear" w:color="auto" w:fill="FFFFFF"/>
        <w:spacing w:line="360" w:lineRule="auto"/>
        <w:ind w:firstLine="480" w:firstLineChars="200"/>
        <w:rPr>
          <w:rFonts w:ascii="宋体" w:hAnsi="宋体" w:cs="宋体"/>
          <w:color w:val="000000"/>
          <w:kern w:val="2"/>
        </w:rPr>
      </w:pPr>
      <w:r>
        <w:rPr>
          <w:rFonts w:hint="eastAsia" w:ascii="宋体" w:hAnsi="宋体" w:cs="宋体"/>
          <w:color w:val="000000"/>
          <w:kern w:val="2"/>
        </w:rPr>
        <w:t>同等学力（大专毕业生、成人高校应届本科毕业生、普通高校本科结业生）加试科目参见我校《2021年硕士学位研究生招生专业目录》。加试方式为笔试，满分100分，每门考试时间2小时。同等学力加试成绩不记入复试总成绩，任意一门加试科目成绩低于60分为加试不合格。</w:t>
      </w:r>
    </w:p>
    <w:p>
      <w:pPr>
        <w:pStyle w:val="3"/>
        <w:tabs>
          <w:tab w:val="left" w:pos="540"/>
          <w:tab w:val="left" w:pos="1260"/>
          <w:tab w:val="left" w:pos="1980"/>
        </w:tabs>
        <w:spacing w:line="360" w:lineRule="auto"/>
        <w:ind w:firstLine="480" w:firstLineChars="200"/>
        <w:rPr>
          <w:rFonts w:ascii="宋体" w:hAnsi="宋体" w:eastAsia="宋体" w:cs="宋体"/>
          <w:color w:val="000000"/>
          <w:kern w:val="2"/>
          <w:sz w:val="24"/>
          <w:szCs w:val="24"/>
        </w:rPr>
      </w:pPr>
      <w:r>
        <w:rPr>
          <w:rFonts w:hint="eastAsia" w:ascii="宋体" w:hAnsi="宋体" w:eastAsia="宋体" w:cs="宋体"/>
          <w:color w:val="000000"/>
          <w:kern w:val="2"/>
          <w:sz w:val="24"/>
          <w:szCs w:val="24"/>
        </w:rPr>
        <w:t>4、面试程序：</w:t>
      </w:r>
    </w:p>
    <w:p>
      <w:pPr>
        <w:pStyle w:val="3"/>
        <w:tabs>
          <w:tab w:val="left" w:pos="540"/>
          <w:tab w:val="left" w:pos="1260"/>
          <w:tab w:val="left" w:pos="1980"/>
        </w:tabs>
        <w:spacing w:line="360" w:lineRule="auto"/>
        <w:ind w:firstLine="480" w:firstLineChars="200"/>
        <w:rPr>
          <w:rFonts w:ascii="宋体" w:hAnsi="宋体" w:eastAsia="宋体" w:cs="宋体"/>
          <w:color w:val="000000"/>
          <w:kern w:val="2"/>
          <w:sz w:val="24"/>
          <w:szCs w:val="24"/>
        </w:rPr>
      </w:pPr>
      <w:r>
        <w:rPr>
          <w:rFonts w:hint="eastAsia" w:ascii="宋体" w:hAnsi="宋体" w:eastAsia="宋体" w:cs="宋体"/>
          <w:color w:val="000000"/>
          <w:kern w:val="2"/>
          <w:sz w:val="24"/>
          <w:szCs w:val="24"/>
        </w:rPr>
        <w:t>（</w:t>
      </w:r>
      <w:r>
        <w:rPr>
          <w:rFonts w:ascii="宋体" w:hAnsi="宋体" w:eastAsia="宋体" w:cs="宋体"/>
          <w:color w:val="000000"/>
          <w:kern w:val="2"/>
          <w:sz w:val="24"/>
          <w:szCs w:val="24"/>
        </w:rPr>
        <w:t>1</w:t>
      </w:r>
      <w:r>
        <w:rPr>
          <w:rFonts w:hint="eastAsia" w:ascii="宋体" w:hAnsi="宋体" w:eastAsia="宋体" w:cs="宋体"/>
          <w:color w:val="000000"/>
          <w:kern w:val="2"/>
          <w:sz w:val="24"/>
          <w:szCs w:val="24"/>
        </w:rPr>
        <w:t>）面试抽签</w:t>
      </w:r>
      <w:bookmarkStart w:id="4" w:name="_GoBack"/>
      <w:bookmarkEnd w:id="4"/>
    </w:p>
    <w:p>
      <w:pPr>
        <w:pStyle w:val="3"/>
        <w:tabs>
          <w:tab w:val="left" w:pos="540"/>
          <w:tab w:val="left" w:pos="1260"/>
          <w:tab w:val="left" w:pos="1980"/>
        </w:tabs>
        <w:spacing w:line="360" w:lineRule="auto"/>
        <w:ind w:firstLine="480" w:firstLineChars="200"/>
        <w:rPr>
          <w:rFonts w:ascii="宋体" w:hAnsi="宋体" w:eastAsia="宋体" w:cs="宋体"/>
          <w:color w:val="000000"/>
          <w:kern w:val="2"/>
          <w:sz w:val="24"/>
          <w:szCs w:val="24"/>
        </w:rPr>
      </w:pPr>
      <w:r>
        <w:rPr>
          <w:rFonts w:hint="eastAsia" w:ascii="宋体" w:hAnsi="宋体" w:eastAsia="宋体" w:cs="宋体"/>
          <w:color w:val="000000"/>
          <w:kern w:val="2"/>
          <w:sz w:val="24"/>
          <w:szCs w:val="24"/>
        </w:rPr>
        <w:t>抽签地点和时间详见复试通知书。</w:t>
      </w:r>
    </w:p>
    <w:p>
      <w:pPr>
        <w:spacing w:line="360" w:lineRule="auto"/>
        <w:ind w:firstLine="480" w:firstLineChars="20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（2）面试安排</w:t>
      </w:r>
    </w:p>
    <w:p>
      <w:pPr>
        <w:pStyle w:val="3"/>
        <w:tabs>
          <w:tab w:val="left" w:pos="426"/>
        </w:tabs>
        <w:spacing w:line="360" w:lineRule="auto"/>
        <w:ind w:left="425" w:hanging="424" w:hangingChars="177"/>
        <w:rPr>
          <w:rFonts w:ascii="宋体" w:hAnsi="宋体" w:eastAsia="宋体" w:cs="宋体"/>
          <w:color w:val="000000"/>
          <w:kern w:val="2"/>
          <w:sz w:val="24"/>
          <w:szCs w:val="24"/>
        </w:rPr>
      </w:pPr>
      <w:r>
        <w:rPr>
          <w:rFonts w:ascii="宋体" w:hAnsi="宋体" w:eastAsia="宋体" w:cs="宋体"/>
          <w:color w:val="000000"/>
          <w:kern w:val="2"/>
          <w:sz w:val="24"/>
          <w:szCs w:val="24"/>
        </w:rPr>
        <w:t>A</w:t>
      </w:r>
      <w:r>
        <w:rPr>
          <w:rFonts w:hint="eastAsia" w:ascii="宋体" w:hAnsi="宋体" w:eastAsia="宋体" w:cs="宋体"/>
          <w:color w:val="000000"/>
          <w:kern w:val="2"/>
          <w:sz w:val="24"/>
          <w:szCs w:val="24"/>
        </w:rPr>
        <w:t>：面试时间、地点见复试通知书，请</w:t>
      </w:r>
      <w:r>
        <w:rPr>
          <w:rFonts w:ascii="宋体" w:hAnsi="宋体" w:eastAsia="宋体" w:cs="宋体"/>
          <w:color w:val="000000"/>
          <w:kern w:val="2"/>
          <w:sz w:val="24"/>
          <w:szCs w:val="24"/>
        </w:rPr>
        <w:t>全体考生携带身份证</w:t>
      </w:r>
      <w:r>
        <w:rPr>
          <w:rFonts w:hint="eastAsia" w:ascii="宋体" w:hAnsi="宋体" w:eastAsia="宋体" w:cs="宋体"/>
          <w:color w:val="000000"/>
          <w:kern w:val="2"/>
          <w:sz w:val="24"/>
          <w:szCs w:val="24"/>
        </w:rPr>
        <w:t>和</w:t>
      </w:r>
      <w:r>
        <w:rPr>
          <w:rFonts w:ascii="宋体" w:hAnsi="宋体" w:eastAsia="宋体" w:cs="宋体"/>
          <w:color w:val="000000"/>
          <w:kern w:val="2"/>
          <w:sz w:val="24"/>
          <w:szCs w:val="24"/>
        </w:rPr>
        <w:t>准考证</w:t>
      </w:r>
      <w:r>
        <w:rPr>
          <w:rFonts w:hint="eastAsia" w:ascii="宋体" w:hAnsi="宋体" w:eastAsia="宋体" w:cs="宋体"/>
          <w:color w:val="000000"/>
          <w:kern w:val="2"/>
          <w:sz w:val="24"/>
          <w:szCs w:val="24"/>
        </w:rPr>
        <w:t>在</w:t>
      </w:r>
      <w:r>
        <w:rPr>
          <w:rFonts w:ascii="宋体" w:hAnsi="宋体" w:eastAsia="宋体" w:cs="宋体"/>
          <w:color w:val="000000"/>
          <w:kern w:val="2"/>
          <w:sz w:val="24"/>
          <w:szCs w:val="24"/>
        </w:rPr>
        <w:t>3</w:t>
      </w:r>
      <w:r>
        <w:rPr>
          <w:rFonts w:hint="eastAsia" w:ascii="宋体" w:hAnsi="宋体" w:eastAsia="宋体" w:cs="宋体"/>
          <w:color w:val="000000"/>
          <w:kern w:val="2"/>
          <w:sz w:val="24"/>
          <w:szCs w:val="24"/>
        </w:rPr>
        <w:t>月</w:t>
      </w:r>
      <w:r>
        <w:rPr>
          <w:rFonts w:ascii="宋体" w:hAnsi="宋体" w:eastAsia="宋体" w:cs="宋体"/>
          <w:color w:val="000000"/>
          <w:kern w:val="2"/>
          <w:sz w:val="24"/>
          <w:szCs w:val="24"/>
        </w:rPr>
        <w:t>28</w:t>
      </w:r>
      <w:r>
        <w:rPr>
          <w:rFonts w:hint="eastAsia" w:ascii="宋体" w:hAnsi="宋体" w:eastAsia="宋体" w:cs="宋体"/>
          <w:color w:val="000000"/>
          <w:kern w:val="2"/>
          <w:sz w:val="24"/>
          <w:szCs w:val="24"/>
        </w:rPr>
        <w:t>日上午</w:t>
      </w:r>
      <w:r>
        <w:rPr>
          <w:rFonts w:ascii="宋体" w:hAnsi="宋体" w:eastAsia="宋体" w:cs="宋体"/>
          <w:color w:val="000000"/>
          <w:kern w:val="2"/>
          <w:sz w:val="24"/>
          <w:szCs w:val="24"/>
        </w:rPr>
        <w:t>8</w:t>
      </w:r>
      <w:r>
        <w:rPr>
          <w:rFonts w:hint="eastAsia" w:ascii="宋体" w:hAnsi="宋体" w:eastAsia="宋体" w:cs="宋体"/>
          <w:color w:val="000000"/>
          <w:kern w:val="2"/>
          <w:sz w:val="24"/>
          <w:szCs w:val="24"/>
        </w:rPr>
        <w:t>：</w:t>
      </w:r>
      <w:r>
        <w:rPr>
          <w:rFonts w:ascii="宋体" w:hAnsi="宋体" w:eastAsia="宋体" w:cs="宋体"/>
          <w:color w:val="000000"/>
          <w:kern w:val="2"/>
          <w:sz w:val="24"/>
          <w:szCs w:val="24"/>
        </w:rPr>
        <w:t>00</w:t>
      </w:r>
      <w:r>
        <w:rPr>
          <w:rFonts w:hint="eastAsia" w:ascii="宋体" w:hAnsi="宋体" w:eastAsia="宋体" w:cs="宋体"/>
          <w:color w:val="000000"/>
          <w:kern w:val="2"/>
          <w:sz w:val="24"/>
          <w:szCs w:val="24"/>
        </w:rPr>
        <w:t>前抵达指定地点候考，迟到</w:t>
      </w:r>
      <w:r>
        <w:rPr>
          <w:rFonts w:ascii="宋体" w:hAnsi="宋体" w:eastAsia="宋体" w:cs="宋体"/>
          <w:color w:val="000000"/>
          <w:kern w:val="2"/>
          <w:sz w:val="24"/>
          <w:szCs w:val="24"/>
        </w:rPr>
        <w:t>15</w:t>
      </w:r>
      <w:r>
        <w:rPr>
          <w:rFonts w:hint="eastAsia" w:ascii="宋体" w:hAnsi="宋体" w:eastAsia="宋体" w:cs="宋体"/>
          <w:color w:val="000000"/>
          <w:kern w:val="2"/>
          <w:sz w:val="24"/>
          <w:szCs w:val="24"/>
        </w:rPr>
        <w:t>分钟即取消复试资格。候考考生必须在指定的地点候考，不得随意离开。</w:t>
      </w:r>
    </w:p>
    <w:p>
      <w:pPr>
        <w:pStyle w:val="3"/>
        <w:tabs>
          <w:tab w:val="left" w:pos="1080"/>
          <w:tab w:val="clear" w:pos="916"/>
          <w:tab w:val="clear" w:pos="1832"/>
          <w:tab w:val="clear" w:pos="2748"/>
          <w:tab w:val="clear" w:pos="3664"/>
          <w:tab w:val="clear" w:pos="4580"/>
        </w:tabs>
        <w:spacing w:line="360" w:lineRule="auto"/>
        <w:ind w:firstLine="360" w:firstLineChars="150"/>
        <w:jc w:val="both"/>
        <w:rPr>
          <w:rFonts w:ascii="宋体" w:hAnsi="宋体" w:eastAsia="宋体" w:cs="宋体"/>
          <w:color w:val="000000"/>
          <w:kern w:val="2"/>
          <w:sz w:val="24"/>
          <w:szCs w:val="24"/>
        </w:rPr>
      </w:pPr>
      <w:r>
        <w:rPr>
          <w:rFonts w:ascii="宋体" w:hAnsi="宋体" w:eastAsia="宋体" w:cs="宋体"/>
          <w:color w:val="000000"/>
          <w:kern w:val="2"/>
          <w:sz w:val="24"/>
          <w:szCs w:val="24"/>
        </w:rPr>
        <w:t xml:space="preserve">  </w:t>
      </w:r>
      <w:r>
        <w:rPr>
          <w:rFonts w:hint="eastAsia" w:ascii="宋体" w:hAnsi="宋体" w:eastAsia="宋体" w:cs="宋体"/>
          <w:color w:val="000000"/>
          <w:kern w:val="2"/>
          <w:sz w:val="24"/>
          <w:szCs w:val="24"/>
        </w:rPr>
        <w:t>注：考生一律不准带手机进入侯考室和考区，否则按违纪处理。</w:t>
      </w:r>
    </w:p>
    <w:p>
      <w:pPr>
        <w:pStyle w:val="3"/>
        <w:tabs>
          <w:tab w:val="left" w:pos="1080"/>
          <w:tab w:val="clear" w:pos="916"/>
          <w:tab w:val="clear" w:pos="1832"/>
          <w:tab w:val="clear" w:pos="2748"/>
          <w:tab w:val="clear" w:pos="3664"/>
          <w:tab w:val="clear" w:pos="4580"/>
        </w:tabs>
        <w:spacing w:line="360" w:lineRule="auto"/>
        <w:ind w:left="422" w:leftChars="-1" w:hanging="424" w:hangingChars="177"/>
        <w:jc w:val="both"/>
        <w:rPr>
          <w:rFonts w:ascii="宋体" w:hAnsi="宋体" w:eastAsia="宋体" w:cs="宋体"/>
          <w:color w:val="000000"/>
          <w:kern w:val="2"/>
          <w:sz w:val="24"/>
          <w:szCs w:val="24"/>
        </w:rPr>
      </w:pPr>
      <w:r>
        <w:rPr>
          <w:rFonts w:ascii="宋体" w:hAnsi="宋体" w:eastAsia="宋体" w:cs="宋体"/>
          <w:color w:val="000000"/>
          <w:kern w:val="2"/>
          <w:sz w:val="24"/>
          <w:szCs w:val="24"/>
        </w:rPr>
        <w:t>B</w:t>
      </w:r>
      <w:r>
        <w:rPr>
          <w:rFonts w:hint="eastAsia" w:ascii="宋体" w:hAnsi="宋体" w:eastAsia="宋体" w:cs="宋体"/>
          <w:color w:val="000000"/>
          <w:kern w:val="2"/>
          <w:sz w:val="24"/>
          <w:szCs w:val="24"/>
        </w:rPr>
        <w:t>、轮到进行面试的考生由工作人员带领，提前到指定办公室验证身份证、准考证，抽取相关专业试题，由工作组人员带领到面试考场进行面试。</w:t>
      </w:r>
    </w:p>
    <w:p>
      <w:pPr>
        <w:pStyle w:val="3"/>
        <w:tabs>
          <w:tab w:val="left" w:pos="1080"/>
          <w:tab w:val="clear" w:pos="916"/>
          <w:tab w:val="clear" w:pos="1832"/>
          <w:tab w:val="clear" w:pos="2748"/>
          <w:tab w:val="clear" w:pos="3664"/>
          <w:tab w:val="clear" w:pos="4580"/>
        </w:tabs>
        <w:spacing w:line="360" w:lineRule="auto"/>
        <w:ind w:left="425" w:hanging="424" w:hangingChars="177"/>
        <w:jc w:val="both"/>
        <w:rPr>
          <w:rFonts w:ascii="宋体" w:hAnsi="宋体" w:eastAsia="宋体" w:cs="宋体"/>
          <w:color w:val="000000"/>
          <w:kern w:val="2"/>
          <w:sz w:val="24"/>
          <w:szCs w:val="24"/>
        </w:rPr>
      </w:pPr>
      <w:r>
        <w:rPr>
          <w:rFonts w:ascii="宋体" w:hAnsi="宋体" w:eastAsia="宋体" w:cs="宋体"/>
          <w:color w:val="000000"/>
          <w:kern w:val="2"/>
          <w:sz w:val="24"/>
          <w:szCs w:val="24"/>
        </w:rPr>
        <w:t>C</w:t>
      </w:r>
      <w:r>
        <w:rPr>
          <w:rFonts w:hint="eastAsia" w:ascii="宋体" w:hAnsi="宋体" w:eastAsia="宋体" w:cs="宋体"/>
          <w:color w:val="000000"/>
          <w:kern w:val="2"/>
          <w:sz w:val="24"/>
          <w:szCs w:val="24"/>
        </w:rPr>
        <w:t>、到达面试考场，请清晰慢速地报出准考证号码、姓名，以使得面试专家能够记录，并将准考证和抽取的题目交给主考准备进行面试。</w:t>
      </w:r>
    </w:p>
    <w:p>
      <w:pPr>
        <w:pStyle w:val="3"/>
        <w:tabs>
          <w:tab w:val="left" w:pos="1080"/>
          <w:tab w:val="clear" w:pos="916"/>
          <w:tab w:val="clear" w:pos="1832"/>
          <w:tab w:val="clear" w:pos="2748"/>
          <w:tab w:val="clear" w:pos="3664"/>
          <w:tab w:val="clear" w:pos="4580"/>
        </w:tabs>
        <w:spacing w:line="360" w:lineRule="auto"/>
        <w:ind w:left="425" w:hanging="424" w:hangingChars="177"/>
        <w:jc w:val="both"/>
        <w:rPr>
          <w:rFonts w:ascii="宋体" w:hAnsi="宋体" w:eastAsia="宋体" w:cs="宋体"/>
          <w:color w:val="000000"/>
          <w:kern w:val="2"/>
          <w:sz w:val="24"/>
          <w:szCs w:val="24"/>
        </w:rPr>
      </w:pPr>
      <w:r>
        <w:rPr>
          <w:rFonts w:ascii="宋体" w:hAnsi="宋体" w:eastAsia="宋体" w:cs="宋体"/>
          <w:color w:val="000000"/>
          <w:kern w:val="2"/>
          <w:sz w:val="24"/>
          <w:szCs w:val="24"/>
        </w:rPr>
        <w:t>D</w:t>
      </w:r>
      <w:r>
        <w:rPr>
          <w:rFonts w:hint="eastAsia" w:ascii="宋体" w:hAnsi="宋体" w:eastAsia="宋体" w:cs="宋体"/>
          <w:color w:val="000000"/>
          <w:kern w:val="2"/>
          <w:sz w:val="24"/>
          <w:szCs w:val="24"/>
        </w:rPr>
        <w:t>、面试结束，取回准考证并离开考区，不得在考区和候考区逗留，如发现已考考生与未考考生有任何信息交流，双方均按作弊论处。</w:t>
      </w:r>
    </w:p>
    <w:p>
      <w:pPr>
        <w:pStyle w:val="3"/>
        <w:shd w:val="clear" w:color="auto" w:fill="FFFFFF"/>
        <w:tabs>
          <w:tab w:val="left" w:pos="540"/>
          <w:tab w:val="left" w:pos="1260"/>
          <w:tab w:val="left" w:pos="1980"/>
          <w:tab w:val="clear" w:pos="916"/>
          <w:tab w:val="clear" w:pos="1832"/>
        </w:tabs>
        <w:spacing w:after="180" w:line="360" w:lineRule="auto"/>
        <w:ind w:left="425" w:hanging="424" w:hangingChars="177"/>
        <w:jc w:val="both"/>
        <w:rPr>
          <w:rFonts w:ascii="宋体" w:hAnsi="宋体" w:eastAsia="宋体" w:cs="宋体"/>
          <w:color w:val="000000"/>
          <w:kern w:val="2"/>
          <w:sz w:val="24"/>
          <w:szCs w:val="24"/>
        </w:rPr>
      </w:pPr>
      <w:r>
        <w:rPr>
          <w:rFonts w:ascii="宋体" w:hAnsi="宋体" w:eastAsia="宋体" w:cs="宋体"/>
          <w:color w:val="000000"/>
          <w:kern w:val="2"/>
          <w:sz w:val="24"/>
          <w:szCs w:val="24"/>
        </w:rPr>
        <w:t>E</w:t>
      </w:r>
      <w:r>
        <w:rPr>
          <w:rFonts w:hint="eastAsia" w:ascii="宋体" w:hAnsi="宋体" w:eastAsia="宋体" w:cs="宋体"/>
          <w:color w:val="000000"/>
          <w:kern w:val="2"/>
          <w:sz w:val="24"/>
          <w:szCs w:val="24"/>
        </w:rPr>
        <w:t>、考生在候考区可以阅读书籍等，但不得与外界有任何联系，特别是不得与已经完成面试的同学有任何联系，否则按作弊论处。进入考场必须携带身份证、准考证及签字笔。</w:t>
      </w:r>
    </w:p>
    <w:p>
      <w:pPr>
        <w:widowControl w:val="0"/>
        <w:numPr>
          <w:ilvl w:val="0"/>
          <w:numId w:val="1"/>
        </w:numPr>
        <w:tabs>
          <w:tab w:val="left" w:pos="0"/>
          <w:tab w:val="clear" w:pos="1282"/>
        </w:tabs>
        <w:adjustRightInd/>
        <w:snapToGrid/>
        <w:spacing w:beforeLines="50" w:afterLines="50" w:line="360" w:lineRule="auto"/>
        <w:ind w:left="0" w:firstLine="0"/>
        <w:jc w:val="both"/>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复试成绩的评定</w:t>
      </w:r>
    </w:p>
    <w:p>
      <w:pPr>
        <w:pStyle w:val="3"/>
        <w:tabs>
          <w:tab w:val="left" w:pos="0"/>
          <w:tab w:val="left" w:pos="1260"/>
          <w:tab w:val="left" w:pos="1980"/>
          <w:tab w:val="clear" w:pos="916"/>
          <w:tab w:val="clear" w:pos="1832"/>
        </w:tabs>
        <w:spacing w:line="360" w:lineRule="auto"/>
        <w:ind w:firstLine="480" w:firstLineChars="200"/>
        <w:jc w:val="both"/>
        <w:rPr>
          <w:rFonts w:ascii="宋体" w:hAnsi="宋体" w:eastAsia="宋体" w:cs="宋体"/>
          <w:color w:val="000000"/>
          <w:kern w:val="2"/>
          <w:sz w:val="24"/>
          <w:szCs w:val="24"/>
        </w:rPr>
      </w:pPr>
      <w:r>
        <w:rPr>
          <w:rFonts w:hint="eastAsia" w:ascii="宋体" w:hAnsi="宋体" w:eastAsia="宋体" w:cs="宋体"/>
          <w:color w:val="000000"/>
          <w:kern w:val="2"/>
          <w:sz w:val="24"/>
          <w:szCs w:val="24"/>
        </w:rPr>
        <w:t>专业课测试、外语测试和综合面试成绩由专家组成员逐项打分，分别计算总分，取平均成绩为考生最终复试得分。</w:t>
      </w:r>
    </w:p>
    <w:p>
      <w:pPr>
        <w:widowControl w:val="0"/>
        <w:numPr>
          <w:ilvl w:val="0"/>
          <w:numId w:val="1"/>
        </w:numPr>
        <w:tabs>
          <w:tab w:val="left" w:pos="0"/>
          <w:tab w:val="clear" w:pos="1282"/>
        </w:tabs>
        <w:adjustRightInd/>
        <w:snapToGrid/>
        <w:spacing w:beforeLines="50" w:afterLines="50" w:line="360" w:lineRule="auto"/>
        <w:ind w:left="0" w:firstLine="0"/>
        <w:jc w:val="both"/>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总成绩的计算及拟录取名单的确定</w:t>
      </w:r>
    </w:p>
    <w:p>
      <w:pPr>
        <w:pStyle w:val="3"/>
        <w:tabs>
          <w:tab w:val="left" w:pos="1560"/>
        </w:tabs>
        <w:spacing w:line="360" w:lineRule="auto"/>
        <w:ind w:firstLine="480" w:firstLineChars="200"/>
        <w:jc w:val="both"/>
        <w:rPr>
          <w:rFonts w:ascii="宋体" w:hAnsi="宋体" w:eastAsia="宋体" w:cs="宋体"/>
          <w:color w:val="000000"/>
          <w:sz w:val="24"/>
        </w:rPr>
      </w:pPr>
      <w:r>
        <w:rPr>
          <w:rFonts w:hint="eastAsia" w:ascii="宋体" w:hAnsi="宋体" w:eastAsia="宋体" w:cs="宋体"/>
          <w:color w:val="000000"/>
          <w:sz w:val="24"/>
        </w:rPr>
        <w:t>考生的初试成绩与复试成绩相加得综合成绩，各专业按总成绩分别排序，根据学校下达的招生指标，由我院研究生招生领导小组讨论确定分专业拟录取名单，报学校研究生院批准。</w:t>
      </w:r>
    </w:p>
    <w:p>
      <w:pPr>
        <w:widowControl w:val="0"/>
        <w:numPr>
          <w:ilvl w:val="0"/>
          <w:numId w:val="1"/>
        </w:numPr>
        <w:tabs>
          <w:tab w:val="left" w:pos="0"/>
          <w:tab w:val="clear" w:pos="1282"/>
        </w:tabs>
        <w:adjustRightInd/>
        <w:snapToGrid/>
        <w:spacing w:beforeLines="50" w:afterLines="50" w:line="360" w:lineRule="auto"/>
        <w:ind w:left="0" w:firstLine="0"/>
        <w:jc w:val="both"/>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其它</w:t>
      </w:r>
    </w:p>
    <w:p>
      <w:pPr>
        <w:spacing w:line="360" w:lineRule="auto"/>
        <w:ind w:firstLine="480" w:firstLineChars="200"/>
        <w:rPr>
          <w:rFonts w:ascii="宋体" w:hAnsi="宋体" w:eastAsia="宋体" w:cs="宋体"/>
          <w:color w:val="000000"/>
          <w:sz w:val="24"/>
          <w:szCs w:val="20"/>
        </w:rPr>
      </w:pPr>
      <w:r>
        <w:rPr>
          <w:rFonts w:hint="eastAsia" w:ascii="宋体" w:hAnsi="宋体" w:eastAsia="宋体" w:cs="宋体"/>
          <w:color w:val="000000"/>
          <w:sz w:val="24"/>
          <w:szCs w:val="20"/>
        </w:rPr>
        <w:t>参加复试的领导小组成员、专家组成员、工作组人员考前不得向任何人泄露复试试题及与命题工作有关的内容，如专家组成员的组成等。如有直系亲属参加本次面试必须向学院主动提出，进行必要的回避。</w:t>
      </w:r>
    </w:p>
    <w:p>
      <w:pPr>
        <w:widowControl w:val="0"/>
        <w:numPr>
          <w:ilvl w:val="0"/>
          <w:numId w:val="1"/>
        </w:numPr>
        <w:tabs>
          <w:tab w:val="left" w:pos="0"/>
          <w:tab w:val="clear" w:pos="1282"/>
        </w:tabs>
        <w:adjustRightInd/>
        <w:snapToGrid/>
        <w:spacing w:beforeLines="50" w:afterLines="50" w:line="360" w:lineRule="auto"/>
        <w:ind w:left="0" w:firstLine="0"/>
        <w:jc w:val="both"/>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监督和复议</w:t>
      </w:r>
    </w:p>
    <w:p>
      <w:pPr>
        <w:spacing w:line="360" w:lineRule="auto"/>
        <w:ind w:left="425" w:hanging="424" w:hangingChars="177"/>
        <w:rPr>
          <w:rFonts w:ascii="宋体" w:hAnsi="宋体" w:eastAsia="宋体" w:cs="宋体"/>
          <w:color w:val="000000"/>
          <w:sz w:val="24"/>
          <w:szCs w:val="20"/>
        </w:rPr>
      </w:pPr>
      <w:r>
        <w:rPr>
          <w:rFonts w:hint="eastAsia" w:ascii="宋体" w:hAnsi="宋体" w:cs="宋体"/>
          <w:color w:val="000000"/>
          <w:sz w:val="24"/>
        </w:rPr>
        <w:t>1、</w:t>
      </w:r>
      <w:r>
        <w:rPr>
          <w:rFonts w:hint="eastAsia" w:ascii="宋体" w:hAnsi="宋体" w:eastAsia="宋体" w:cs="宋体"/>
          <w:color w:val="000000"/>
          <w:sz w:val="24"/>
          <w:szCs w:val="20"/>
        </w:rPr>
        <w:t>学院研究生复试领导小组对本院复试过程的公平、公正和复试结果全面负责。</w:t>
      </w:r>
    </w:p>
    <w:p>
      <w:pPr>
        <w:spacing w:line="360" w:lineRule="auto"/>
        <w:ind w:left="425" w:hanging="424" w:hangingChars="177"/>
        <w:rPr>
          <w:rFonts w:ascii="宋体" w:hAnsi="宋体" w:eastAsia="宋体" w:cs="宋体"/>
          <w:color w:val="000000"/>
          <w:sz w:val="24"/>
          <w:szCs w:val="20"/>
        </w:rPr>
      </w:pPr>
      <w:r>
        <w:rPr>
          <w:rFonts w:hint="eastAsia" w:ascii="宋体" w:hAnsi="宋体" w:cs="宋体"/>
          <w:color w:val="000000"/>
          <w:sz w:val="24"/>
        </w:rPr>
        <w:t>2、</w:t>
      </w:r>
      <w:r>
        <w:rPr>
          <w:rFonts w:hint="eastAsia" w:ascii="宋体" w:hAnsi="宋体" w:eastAsia="宋体" w:cs="宋体"/>
          <w:color w:val="000000"/>
          <w:sz w:val="24"/>
          <w:szCs w:val="20"/>
        </w:rPr>
        <w:t>会同研究生院和学校纪检、监察部门对本院的复试工作进行全面、有效监督（纪委监察部门电话：025—58731002；研究生院电话025－58731201）。</w:t>
      </w:r>
    </w:p>
    <w:p>
      <w:pPr>
        <w:spacing w:line="360" w:lineRule="auto"/>
        <w:ind w:left="425" w:hanging="424" w:hangingChars="177"/>
        <w:rPr>
          <w:rFonts w:ascii="宋体" w:hAnsi="宋体" w:eastAsia="宋体" w:cs="宋体"/>
          <w:color w:val="000000"/>
          <w:sz w:val="24"/>
          <w:szCs w:val="20"/>
        </w:rPr>
      </w:pPr>
      <w:r>
        <w:rPr>
          <w:rFonts w:hint="eastAsia" w:ascii="宋体" w:hAnsi="宋体" w:eastAsia="宋体" w:cs="宋体"/>
          <w:color w:val="000000"/>
          <w:sz w:val="24"/>
          <w:szCs w:val="20"/>
        </w:rPr>
        <w:t>3、实行复议制度。当参加复试的考生对复试结果提出异议时，在复试或拟录取名单公布的三个工作日内，可向学校有关部门提出申诉，申请复议。</w:t>
      </w:r>
    </w:p>
    <w:p>
      <w:pPr>
        <w:widowControl w:val="0"/>
        <w:numPr>
          <w:ilvl w:val="0"/>
          <w:numId w:val="1"/>
        </w:numPr>
        <w:tabs>
          <w:tab w:val="left" w:pos="0"/>
          <w:tab w:val="clear" w:pos="1282"/>
        </w:tabs>
        <w:adjustRightInd/>
        <w:snapToGrid/>
        <w:spacing w:beforeLines="50" w:afterLines="50" w:line="360" w:lineRule="auto"/>
        <w:ind w:left="0" w:firstLine="0"/>
        <w:jc w:val="both"/>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未尽事宜按南京信息工程大学2021年招收攻读硕士学位研究生复试及录取工作相关规定执行。</w:t>
      </w:r>
    </w:p>
    <w:p>
      <w:pPr>
        <w:widowControl w:val="0"/>
        <w:numPr>
          <w:ilvl w:val="0"/>
          <w:numId w:val="1"/>
        </w:numPr>
        <w:tabs>
          <w:tab w:val="left" w:pos="0"/>
          <w:tab w:val="clear" w:pos="1282"/>
        </w:tabs>
        <w:adjustRightInd/>
        <w:snapToGrid/>
        <w:spacing w:beforeLines="50" w:afterLines="50" w:line="360" w:lineRule="auto"/>
        <w:ind w:left="0" w:firstLine="0"/>
        <w:jc w:val="both"/>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本细则的解释权在文学院。</w:t>
      </w:r>
    </w:p>
    <w:p>
      <w:pPr>
        <w:spacing w:line="360" w:lineRule="auto"/>
        <w:ind w:firstLine="5460" w:firstLineChars="1950"/>
        <w:rPr>
          <w:rFonts w:cs="宋体" w:asciiTheme="majorEastAsia" w:hAnsiTheme="majorEastAsia" w:eastAsiaTheme="majorEastAsia"/>
          <w:color w:val="000000"/>
          <w:sz w:val="28"/>
          <w:szCs w:val="28"/>
        </w:rPr>
      </w:pPr>
      <w:r>
        <w:rPr>
          <w:rFonts w:hint="eastAsia" w:cs="宋体" w:asciiTheme="majorEastAsia" w:hAnsiTheme="majorEastAsia" w:eastAsiaTheme="majorEastAsia"/>
          <w:color w:val="000000"/>
          <w:sz w:val="28"/>
          <w:szCs w:val="28"/>
        </w:rPr>
        <w:t>文学院</w:t>
      </w:r>
    </w:p>
    <w:p>
      <w:pPr>
        <w:spacing w:line="360" w:lineRule="auto"/>
        <w:ind w:firstLine="4800" w:firstLineChars="2000"/>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2021年3月22日</w:t>
      </w:r>
    </w:p>
    <w:p>
      <w:pPr>
        <w:spacing w:line="360" w:lineRule="auto"/>
      </w:pPr>
    </w:p>
    <w:p/>
    <w:sectPr>
      <w:pgSz w:w="11906" w:h="16838"/>
      <w:pgMar w:top="1134" w:right="1134" w:bottom="1134" w:left="113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altName w:val="Arial"/>
    <w:panose1 w:val="020B0604020202020204"/>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595ECF"/>
    <w:multiLevelType w:val="multilevel"/>
    <w:tmpl w:val="70595ECF"/>
    <w:lvl w:ilvl="0" w:tentative="0">
      <w:start w:val="1"/>
      <w:numFmt w:val="japaneseCounting"/>
      <w:lvlText w:val="%1、"/>
      <w:lvlJc w:val="left"/>
      <w:pPr>
        <w:tabs>
          <w:tab w:val="left" w:pos="1282"/>
        </w:tabs>
        <w:ind w:left="1282" w:hanging="720"/>
      </w:pPr>
      <w:rPr>
        <w:rFonts w:hint="default"/>
      </w:rPr>
    </w:lvl>
    <w:lvl w:ilvl="1" w:tentative="0">
      <w:start w:val="1"/>
      <w:numFmt w:val="lowerLetter"/>
      <w:lvlText w:val="%2)"/>
      <w:lvlJc w:val="left"/>
      <w:pPr>
        <w:tabs>
          <w:tab w:val="left" w:pos="1402"/>
        </w:tabs>
        <w:ind w:left="1402" w:hanging="420"/>
      </w:pPr>
    </w:lvl>
    <w:lvl w:ilvl="2" w:tentative="0">
      <w:start w:val="1"/>
      <w:numFmt w:val="lowerRoman"/>
      <w:lvlText w:val="%3."/>
      <w:lvlJc w:val="right"/>
      <w:pPr>
        <w:tabs>
          <w:tab w:val="left" w:pos="1822"/>
        </w:tabs>
        <w:ind w:left="1822" w:hanging="420"/>
      </w:pPr>
    </w:lvl>
    <w:lvl w:ilvl="3" w:tentative="0">
      <w:start w:val="1"/>
      <w:numFmt w:val="decimal"/>
      <w:lvlText w:val="%4."/>
      <w:lvlJc w:val="left"/>
      <w:pPr>
        <w:tabs>
          <w:tab w:val="left" w:pos="2242"/>
        </w:tabs>
        <w:ind w:left="2242" w:hanging="420"/>
      </w:pPr>
    </w:lvl>
    <w:lvl w:ilvl="4" w:tentative="0">
      <w:start w:val="1"/>
      <w:numFmt w:val="lowerLetter"/>
      <w:lvlText w:val="%5)"/>
      <w:lvlJc w:val="left"/>
      <w:pPr>
        <w:tabs>
          <w:tab w:val="left" w:pos="2662"/>
        </w:tabs>
        <w:ind w:left="2662" w:hanging="420"/>
      </w:pPr>
    </w:lvl>
    <w:lvl w:ilvl="5" w:tentative="0">
      <w:start w:val="1"/>
      <w:numFmt w:val="lowerRoman"/>
      <w:lvlText w:val="%6."/>
      <w:lvlJc w:val="right"/>
      <w:pPr>
        <w:tabs>
          <w:tab w:val="left" w:pos="3082"/>
        </w:tabs>
        <w:ind w:left="3082" w:hanging="420"/>
      </w:pPr>
    </w:lvl>
    <w:lvl w:ilvl="6" w:tentative="0">
      <w:start w:val="1"/>
      <w:numFmt w:val="decimal"/>
      <w:lvlText w:val="%7."/>
      <w:lvlJc w:val="left"/>
      <w:pPr>
        <w:tabs>
          <w:tab w:val="left" w:pos="3502"/>
        </w:tabs>
        <w:ind w:left="3502" w:hanging="420"/>
      </w:pPr>
    </w:lvl>
    <w:lvl w:ilvl="7" w:tentative="0">
      <w:start w:val="1"/>
      <w:numFmt w:val="lowerLetter"/>
      <w:lvlText w:val="%8)"/>
      <w:lvlJc w:val="left"/>
      <w:pPr>
        <w:tabs>
          <w:tab w:val="left" w:pos="3922"/>
        </w:tabs>
        <w:ind w:left="3922" w:hanging="420"/>
      </w:pPr>
    </w:lvl>
    <w:lvl w:ilvl="8" w:tentative="0">
      <w:start w:val="1"/>
      <w:numFmt w:val="lowerRoman"/>
      <w:lvlText w:val="%9."/>
      <w:lvlJc w:val="right"/>
      <w:pPr>
        <w:tabs>
          <w:tab w:val="left" w:pos="4342"/>
        </w:tabs>
        <w:ind w:left="434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C2926"/>
    <w:rsid w:val="00020A3F"/>
    <w:rsid w:val="003412F7"/>
    <w:rsid w:val="00415759"/>
    <w:rsid w:val="00437FEC"/>
    <w:rsid w:val="00591544"/>
    <w:rsid w:val="007108B3"/>
    <w:rsid w:val="00872F85"/>
    <w:rsid w:val="00980076"/>
    <w:rsid w:val="00C1053B"/>
    <w:rsid w:val="00DF400D"/>
    <w:rsid w:val="00E40570"/>
    <w:rsid w:val="00FC2926"/>
    <w:rsid w:val="1C527AD7"/>
    <w:rsid w:val="20227B4A"/>
    <w:rsid w:val="2D497EFA"/>
    <w:rsid w:val="42450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kern w:val="0"/>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after="0"/>
    </w:pPr>
    <w:rPr>
      <w:sz w:val="18"/>
      <w:szCs w:val="18"/>
    </w:rPr>
  </w:style>
  <w:style w:type="paragraph" w:styleId="3">
    <w:name w:val="HTML Preformatted"/>
    <w:basedOn w:val="1"/>
    <w:link w:val="7"/>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Arial Unicode MS" w:hAnsi="Arial Unicode MS" w:eastAsia="Arial Unicode MS" w:cs="Arial Unicode MS"/>
      <w:sz w:val="20"/>
      <w:szCs w:val="20"/>
    </w:rPr>
  </w:style>
  <w:style w:type="paragraph" w:styleId="4">
    <w:name w:val="Normal (Web)"/>
    <w:basedOn w:val="1"/>
    <w:qFormat/>
    <w:uiPriority w:val="0"/>
    <w:pPr>
      <w:widowControl w:val="0"/>
      <w:adjustRightInd/>
      <w:snapToGrid/>
      <w:spacing w:beforeAutospacing="1" w:after="0" w:afterAutospacing="1"/>
    </w:pPr>
    <w:rPr>
      <w:rFonts w:ascii="Times New Roman" w:hAnsi="Times New Roman" w:eastAsia="宋体" w:cs="Times New Roman"/>
      <w:sz w:val="24"/>
      <w:szCs w:val="24"/>
    </w:rPr>
  </w:style>
  <w:style w:type="character" w:customStyle="1" w:styleId="7">
    <w:name w:val="HTML 预设格式 Char"/>
    <w:basedOn w:val="6"/>
    <w:link w:val="3"/>
    <w:qFormat/>
    <w:uiPriority w:val="0"/>
    <w:rPr>
      <w:rFonts w:ascii="Arial Unicode MS" w:hAnsi="Arial Unicode MS" w:eastAsia="Arial Unicode MS" w:cs="Arial Unicode MS"/>
      <w:kern w:val="0"/>
      <w:sz w:val="20"/>
      <w:szCs w:val="20"/>
    </w:rPr>
  </w:style>
  <w:style w:type="character" w:customStyle="1" w:styleId="8">
    <w:name w:val="批注框文本 Char"/>
    <w:basedOn w:val="6"/>
    <w:link w:val="2"/>
    <w:semiHidden/>
    <w:uiPriority w:val="99"/>
    <w:rPr>
      <w:rFonts w:ascii="Tahoma" w:hAnsi="Tahoma" w:eastAsia="微软雅黑"/>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441</Words>
  <Characters>2518</Characters>
  <Lines>20</Lines>
  <Paragraphs>5</Paragraphs>
  <TotalTime>62</TotalTime>
  <ScaleCrop>false</ScaleCrop>
  <LinksUpToDate>false</LinksUpToDate>
  <CharactersWithSpaces>2954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2021-03-24T12:59:00Z</dcterms:created>
  <dc:creator>Administrator</dc:creator>
  <cp:lastModifiedBy>xiao</cp:lastModifiedBy>
  <dcterms:modified xsi:type="dcterms:W3CDTF">2021-03-25T04:46:26Z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A57168F660F046D7954629630DF28504</vt:lpwstr>
  </property>
</Properties>
</file>